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42F04285"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05DA603A" w:rsidR="001D3065" w:rsidRDefault="001D3065" w:rsidP="00172234">
      <w:pPr>
        <w:rPr>
          <w:rFonts w:cstheme="minorHAnsi"/>
          <w:b/>
          <w:bCs/>
          <w:lang w:val="en-US"/>
        </w:rPr>
      </w:pPr>
      <w:r w:rsidRPr="00AB472B">
        <w:rPr>
          <w:rFonts w:cstheme="minorHAnsi"/>
          <w:b/>
          <w:bCs/>
          <w:lang w:val="en-US"/>
        </w:rPr>
        <w:t>Introduction</w:t>
      </w:r>
    </w:p>
    <w:p w14:paraId="25AA34F7" w14:textId="0DBE9B6F" w:rsidR="00EA41C0" w:rsidRDefault="00EA41C0" w:rsidP="00172234">
      <w:pPr>
        <w:rPr>
          <w:rFonts w:cstheme="minorHAnsi"/>
          <w:b/>
          <w:bCs/>
          <w:lang w:val="en-US"/>
        </w:rPr>
      </w:pPr>
    </w:p>
    <w:p w14:paraId="5830EC28" w14:textId="4E30F904" w:rsidR="00FA4006" w:rsidRDefault="00C44648" w:rsidP="00172234">
      <w:pPr>
        <w:rPr>
          <w:rFonts w:cstheme="minorHAnsi"/>
          <w:lang w:val="en-US"/>
        </w:rPr>
      </w:pPr>
      <w:r>
        <w:rPr>
          <w:rFonts w:cstheme="minorHAnsi"/>
          <w:lang w:val="en-US"/>
        </w:rPr>
        <w:t xml:space="preserve">Prediction of prognosis </w:t>
      </w:r>
      <w:r w:rsidR="001C7CE2">
        <w:rPr>
          <w:rFonts w:cstheme="minorHAnsi"/>
          <w:lang w:val="en-US"/>
        </w:rPr>
        <w:t xml:space="preserve">is essential for </w:t>
      </w:r>
      <w:r w:rsidR="00593A17">
        <w:rPr>
          <w:rFonts w:cstheme="minorHAnsi"/>
          <w:lang w:val="en-US"/>
        </w:rPr>
        <w:t xml:space="preserve">risk stratification and </w:t>
      </w:r>
      <w:r w:rsidR="001C7CE2">
        <w:rPr>
          <w:rFonts w:cstheme="minorHAnsi"/>
          <w:lang w:val="en-US"/>
        </w:rPr>
        <w:t xml:space="preserve">effective </w:t>
      </w:r>
      <w:r w:rsidR="00F448CB">
        <w:rPr>
          <w:rFonts w:cstheme="minorHAnsi"/>
          <w:lang w:val="en-US"/>
        </w:rPr>
        <w:t xml:space="preserve">patient </w:t>
      </w:r>
      <w:r w:rsidR="001C7CE2">
        <w:rPr>
          <w:rFonts w:cstheme="minorHAnsi"/>
          <w:lang w:val="en-US"/>
        </w:rPr>
        <w:t>management</w:t>
      </w:r>
      <w:r w:rsidR="001C38FF">
        <w:rPr>
          <w:rFonts w:cstheme="minorHAnsi"/>
          <w:lang w:val="en-US"/>
        </w:rPr>
        <w:t xml:space="preserve"> </w:t>
      </w:r>
      <w:r w:rsidR="000D467D">
        <w:rPr>
          <w:rFonts w:cstheme="minorHAnsi"/>
          <w:lang w:val="en-US"/>
        </w:rPr>
        <w:fldChar w:fldCharType="begin" w:fldLock="1"/>
      </w:r>
      <w:r w:rsidR="00E12CA3">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0D467D">
        <w:rPr>
          <w:rFonts w:cstheme="minorHAnsi"/>
          <w:lang w:val="en-US"/>
        </w:rPr>
        <w:fldChar w:fldCharType="separate"/>
      </w:r>
      <w:r w:rsidR="000D467D" w:rsidRPr="000D467D">
        <w:rPr>
          <w:rFonts w:cstheme="minorHAnsi"/>
          <w:noProof/>
          <w:lang w:val="en-US"/>
        </w:rPr>
        <w:t>[1]</w:t>
      </w:r>
      <w:r w:rsidR="000D467D">
        <w:rPr>
          <w:rFonts w:cstheme="minorHAnsi"/>
          <w:lang w:val="en-US"/>
        </w:rPr>
        <w:fldChar w:fldCharType="end"/>
      </w:r>
      <w:r w:rsidR="001C38FF">
        <w:rPr>
          <w:rFonts w:cstheme="minorHAnsi"/>
          <w:lang w:val="en-US"/>
        </w:rPr>
        <w:t>.</w:t>
      </w:r>
      <w:r w:rsidR="000D467D">
        <w:rPr>
          <w:rFonts w:cstheme="minorHAnsi"/>
          <w:lang w:val="en-US"/>
        </w:rPr>
        <w:t xml:space="preserve"> </w:t>
      </w:r>
      <w:r w:rsidR="00ED3B53">
        <w:rPr>
          <w:rFonts w:cstheme="minorHAnsi"/>
          <w:lang w:val="en-US"/>
        </w:rPr>
        <w:t xml:space="preserve">A prognostic model is a </w:t>
      </w:r>
      <w:r w:rsidR="00524831">
        <w:rPr>
          <w:rFonts w:cstheme="minorHAnsi"/>
          <w:lang w:val="en-US"/>
        </w:rPr>
        <w:t xml:space="preserve">formalized </w:t>
      </w:r>
      <w:r w:rsidR="00ED3B53">
        <w:rPr>
          <w:rFonts w:cstheme="minorHAnsi"/>
          <w:lang w:val="en-US"/>
        </w:rPr>
        <w:t>combination of multiple predictors of disease outcome</w:t>
      </w:r>
      <w:r w:rsidR="00524831">
        <w:rPr>
          <w:rFonts w:cstheme="minorHAnsi"/>
          <w:lang w:val="en-US"/>
        </w:rPr>
        <w:t xml:space="preserve"> </w:t>
      </w:r>
      <w:r w:rsidR="00ED3B53">
        <w:rPr>
          <w:rFonts w:cstheme="minorHAnsi"/>
          <w:lang w:val="en-US"/>
        </w:rPr>
        <w:t xml:space="preserve">often </w:t>
      </w:r>
      <w:r w:rsidR="001951F4">
        <w:rPr>
          <w:rFonts w:cstheme="minorHAnsi"/>
          <w:lang w:val="en-US"/>
        </w:rPr>
        <w:t xml:space="preserve">using multivariate regression </w:t>
      </w:r>
      <w:r w:rsidR="002A73FC">
        <w:rPr>
          <w:rFonts w:cstheme="minorHAnsi"/>
          <w:lang w:val="en-US"/>
        </w:rPr>
        <w:t xml:space="preserve">techniques </w:t>
      </w:r>
      <w:r w:rsidR="00E12CA3">
        <w:rPr>
          <w:rFonts w:cstheme="minorHAnsi"/>
          <w:lang w:val="en-US"/>
        </w:rPr>
        <w:fldChar w:fldCharType="begin" w:fldLock="1"/>
      </w:r>
      <w:r w:rsidR="00570879">
        <w:rPr>
          <w:rFonts w:cstheme="minorHAnsi"/>
          <w:lang w:val="en-US"/>
        </w:rPr>
        <w:instrText>ADDIN CSL_CITATION {"citationItems":[{"id":"ITEM-1","itemData":{"DOI":"10.1371/journal.pmed.1001381","ISSN":"1549-1676","abstract":"Prognostic models are abundant in the medical literature yet their use in practice seems limited. In this article, the third in the PROGRESS series, the authors review how such models are developed and validated, and then address how prognostic models are assessed for their impact on practice and patient outcomes, illustrating these ideas with examples.","author":[{"dropping-particle":"","family":"Steyerberg","given":"Ewout W.","non-dropping-particle":"","parse-names":false,"suffix":""},{"dropping-particle":"","family":"Moons","given":"Karel G. M.","non-dropping-particle":"","parse-names":false,"suffix":""},{"dropping-particle":"","family":"Windt","given":"Danielle A.","non-dropping-particle":"van der","parse-names":false,"suffix":""},{"dropping-particle":"","family":"Hayden","given":"Jill A.","non-dropping-particle":"","parse-names":false,"suffix":""},{"dropping-particle":"","family":"Perel","given":"Pablo","non-dropping-particle":"","parse-names":false,"suffix":""},{"dropping-particle":"","family":"Schroter","given":"Sara","non-dropping-particle":"","parse-names":false,"suffix":""},{"dropping-particle":"","family":"Riley","given":"Richard D.","non-dropping-particle":"","parse-names":false,"suffix":""},{"dropping-particle":"","family":"Hemingway","given":"Harry","non-dropping-particle":"","parse-names":false,"suffix":""},{"dropping-particle":"","family":"Altman","given":"Douglas G.","non-dropping-particle":"","parse-names":false,"suffix":""}],"container-title":"PLoS Medicine","id":"ITEM-1","issue":"2","issued":{"date-parts":[["2013","2","5"]]},"page":"e1001381","publisher":"Public Library of Science","title":"Prognosis Research Strategy (PROGRESS) 3: Prognostic Model Research","type":"article-journal","volume":"10"},"uris":["http://www.mendeley.com/documents/?uuid=8279b9d3-6611-32c6-906c-1b396303f3f0"]}],"mendeley":{"formattedCitation":"[1]","plainTextFormattedCitation":"[1]","previouslyFormattedCitation":"[1]"},"properties":{"noteIndex":0},"schema":"https://github.com/citation-style-language/schema/raw/master/csl-citation.json"}</w:instrText>
      </w:r>
      <w:r w:rsidR="00E12CA3">
        <w:rPr>
          <w:rFonts w:cstheme="minorHAnsi"/>
          <w:lang w:val="en-US"/>
        </w:rPr>
        <w:fldChar w:fldCharType="separate"/>
      </w:r>
      <w:r w:rsidR="00E12CA3" w:rsidRPr="00E12CA3">
        <w:rPr>
          <w:rFonts w:cstheme="minorHAnsi"/>
          <w:noProof/>
          <w:lang w:val="en-US"/>
        </w:rPr>
        <w:t>[1]</w:t>
      </w:r>
      <w:r w:rsidR="00E12CA3">
        <w:rPr>
          <w:rFonts w:cstheme="minorHAnsi"/>
          <w:lang w:val="en-US"/>
        </w:rPr>
        <w:fldChar w:fldCharType="end"/>
      </w:r>
      <w:r w:rsidR="00624A8D">
        <w:rPr>
          <w:rFonts w:cstheme="minorHAnsi"/>
          <w:lang w:val="en-US"/>
        </w:rPr>
        <w:t xml:space="preserve">. </w:t>
      </w:r>
      <w:r w:rsidR="00F06294">
        <w:rPr>
          <w:rFonts w:cstheme="minorHAnsi"/>
          <w:lang w:val="en-US"/>
        </w:rPr>
        <w:t xml:space="preserve">However, deciding which features </w:t>
      </w:r>
      <w:r w:rsidR="005D2786">
        <w:rPr>
          <w:rFonts w:cstheme="minorHAnsi"/>
          <w:lang w:val="en-US"/>
        </w:rPr>
        <w:t xml:space="preserve">(covariates) </w:t>
      </w:r>
      <w:r w:rsidR="00F06294">
        <w:rPr>
          <w:rFonts w:cstheme="minorHAnsi"/>
          <w:lang w:val="en-US"/>
        </w:rPr>
        <w:t xml:space="preserve">to include in the model </w:t>
      </w:r>
      <w:r w:rsidR="00C66D85">
        <w:rPr>
          <w:rFonts w:cstheme="minorHAnsi"/>
          <w:lang w:val="en-US"/>
        </w:rPr>
        <w:t xml:space="preserve">is the most important </w:t>
      </w:r>
      <w:r w:rsidR="008641F3">
        <w:rPr>
          <w:rFonts w:cstheme="minorHAnsi"/>
          <w:lang w:val="en-US"/>
        </w:rPr>
        <w:t xml:space="preserve">step </w:t>
      </w:r>
      <w:r w:rsidR="00F96C21">
        <w:rPr>
          <w:rFonts w:cstheme="minorHAnsi"/>
          <w:lang w:val="en-US"/>
        </w:rPr>
        <w:t xml:space="preserve">yet </w:t>
      </w:r>
      <w:r w:rsidR="00C66D85">
        <w:rPr>
          <w:rFonts w:cstheme="minorHAnsi"/>
          <w:lang w:val="en-US"/>
        </w:rPr>
        <w:t xml:space="preserve">most difficult </w:t>
      </w:r>
      <w:r w:rsidR="00C66D85">
        <w:rPr>
          <w:rFonts w:cstheme="minorHAnsi"/>
          <w:lang w:val="en-US"/>
        </w:rPr>
        <w:fldChar w:fldCharType="begin" w:fldLock="1"/>
      </w:r>
      <w:r w:rsidR="00FA4006">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C66D85">
        <w:rPr>
          <w:rFonts w:cstheme="minorHAnsi"/>
          <w:lang w:val="en-US"/>
        </w:rPr>
        <w:fldChar w:fldCharType="separate"/>
      </w:r>
      <w:r w:rsidR="00C66D85" w:rsidRPr="00C66D85">
        <w:rPr>
          <w:rFonts w:cstheme="minorHAnsi"/>
          <w:noProof/>
          <w:lang w:val="en-US"/>
        </w:rPr>
        <w:t>[2]</w:t>
      </w:r>
      <w:r w:rsidR="00C66D85">
        <w:rPr>
          <w:rFonts w:cstheme="minorHAnsi"/>
          <w:lang w:val="en-US"/>
        </w:rPr>
        <w:fldChar w:fldCharType="end"/>
      </w:r>
      <w:r w:rsidR="00F06294">
        <w:rPr>
          <w:rFonts w:cstheme="minorHAnsi"/>
          <w:lang w:val="en-US"/>
        </w:rPr>
        <w:t>.</w:t>
      </w:r>
      <w:r w:rsidR="00A3007D">
        <w:rPr>
          <w:rFonts w:cstheme="minorHAnsi"/>
          <w:lang w:val="en-US"/>
        </w:rPr>
        <w:t xml:space="preserve"> </w:t>
      </w:r>
      <w:r w:rsidR="00FA4006">
        <w:rPr>
          <w:rFonts w:cstheme="minorHAnsi"/>
          <w:lang w:val="en-US"/>
        </w:rPr>
        <w:t>Typically</w:t>
      </w:r>
      <w:r w:rsidR="00A3007D">
        <w:rPr>
          <w:rFonts w:cstheme="minorHAnsi"/>
          <w:lang w:val="en-US"/>
        </w:rPr>
        <w:t xml:space="preserve">, predictors </w:t>
      </w:r>
      <w:r w:rsidR="00FA4006">
        <w:rPr>
          <w:rFonts w:cstheme="minorHAnsi"/>
          <w:lang w:val="en-US"/>
        </w:rPr>
        <w:t xml:space="preserve">are </w:t>
      </w:r>
      <w:r w:rsidR="00A3007D">
        <w:rPr>
          <w:rFonts w:cstheme="minorHAnsi"/>
          <w:lang w:val="en-US"/>
        </w:rPr>
        <w:t xml:space="preserve">selected based on </w:t>
      </w:r>
      <w:r w:rsidR="00F91EAF">
        <w:rPr>
          <w:rFonts w:cstheme="minorHAnsi"/>
          <w:lang w:val="en-US"/>
        </w:rPr>
        <w:t xml:space="preserve">expert </w:t>
      </w:r>
      <w:r w:rsidR="00A3007D">
        <w:rPr>
          <w:rFonts w:cstheme="minorHAnsi"/>
          <w:lang w:val="en-US"/>
        </w:rPr>
        <w:t>clinical knowledge</w:t>
      </w:r>
      <w:r w:rsidR="00284604">
        <w:rPr>
          <w:rFonts w:cstheme="minorHAnsi"/>
          <w:lang w:val="en-US"/>
        </w:rPr>
        <w:t xml:space="preserve"> </w:t>
      </w:r>
      <w:r w:rsidR="00DF0312">
        <w:rPr>
          <w:rFonts w:cstheme="minorHAnsi"/>
          <w:lang w:val="en-US"/>
        </w:rPr>
        <w:t xml:space="preserve">and evidence from the literature </w:t>
      </w:r>
      <w:r w:rsidR="00DC4FED">
        <w:rPr>
          <w:rFonts w:cstheme="minorHAnsi"/>
          <w:lang w:val="en-US"/>
        </w:rPr>
        <w:t xml:space="preserve">rather than purely statistical </w:t>
      </w:r>
      <w:r w:rsidR="00610ECA">
        <w:rPr>
          <w:rFonts w:cstheme="minorHAnsi"/>
          <w:lang w:val="en-US"/>
        </w:rPr>
        <w:t xml:space="preserve">methods </w:t>
      </w:r>
      <w:r w:rsidR="00FA4006">
        <w:rPr>
          <w:rFonts w:cstheme="minorHAnsi"/>
          <w:lang w:val="en-US"/>
        </w:rPr>
        <w:fldChar w:fldCharType="begin" w:fldLock="1"/>
      </w:r>
      <w:r w:rsidR="001B3FAE">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[2]","plainTextFormattedCitation":"[2]","previouslyFormattedCitation":"[2]"},"properties":{"noteIndex":0},"schema":"https://github.com/citation-style-language/schema/raw/master/csl-citation.json"}</w:instrText>
      </w:r>
      <w:r w:rsidR="00FA4006">
        <w:rPr>
          <w:rFonts w:cstheme="minorHAnsi"/>
          <w:lang w:val="en-US"/>
        </w:rPr>
        <w:fldChar w:fldCharType="separate"/>
      </w:r>
      <w:r w:rsidR="00FA4006" w:rsidRPr="00FA4006">
        <w:rPr>
          <w:rFonts w:cstheme="minorHAnsi"/>
          <w:noProof/>
          <w:lang w:val="en-US"/>
        </w:rPr>
        <w:t>[2]</w:t>
      </w:r>
      <w:r w:rsidR="00FA4006">
        <w:rPr>
          <w:rFonts w:cstheme="minorHAnsi"/>
          <w:lang w:val="en-US"/>
        </w:rPr>
        <w:fldChar w:fldCharType="end"/>
      </w:r>
      <w:r w:rsidR="00284604">
        <w:rPr>
          <w:rFonts w:cstheme="minorHAnsi"/>
          <w:lang w:val="en-US"/>
        </w:rPr>
        <w:t xml:space="preserve">. </w:t>
      </w:r>
      <w:r w:rsidR="00FA4006">
        <w:rPr>
          <w:rFonts w:cstheme="minorHAnsi"/>
          <w:lang w:val="en-US"/>
        </w:rPr>
        <w:t xml:space="preserve">However, this approach </w:t>
      </w:r>
      <w:r w:rsidR="00BD2D9F">
        <w:rPr>
          <w:rFonts w:cstheme="minorHAnsi"/>
          <w:lang w:val="en-US"/>
        </w:rPr>
        <w:t>is</w:t>
      </w:r>
      <w:r w:rsidR="00315DB1">
        <w:rPr>
          <w:rFonts w:cstheme="minorHAnsi"/>
          <w:lang w:val="en-US"/>
        </w:rPr>
        <w:t xml:space="preserve"> time consuming, expensive and </w:t>
      </w:r>
      <w:r w:rsidR="00E7139D">
        <w:rPr>
          <w:rFonts w:cstheme="minorHAnsi"/>
          <w:lang w:val="en-US"/>
        </w:rPr>
        <w:t xml:space="preserve">may not be optimal </w:t>
      </w:r>
      <w:r w:rsidR="008641F3">
        <w:rPr>
          <w:rFonts w:cstheme="minorHAnsi"/>
          <w:lang w:val="en-US"/>
        </w:rPr>
        <w:t xml:space="preserve">or practical </w:t>
      </w:r>
      <w:r w:rsidR="00E7139D">
        <w:rPr>
          <w:rFonts w:cstheme="minorHAnsi"/>
          <w:lang w:val="en-US"/>
        </w:rPr>
        <w:t xml:space="preserve">when </w:t>
      </w:r>
      <w:r w:rsidR="00315DB1">
        <w:rPr>
          <w:rFonts w:cstheme="minorHAnsi"/>
          <w:lang w:val="en-US"/>
        </w:rPr>
        <w:t>appl</w:t>
      </w:r>
      <w:r w:rsidR="00E7139D">
        <w:rPr>
          <w:rFonts w:cstheme="minorHAnsi"/>
          <w:lang w:val="en-US"/>
        </w:rPr>
        <w:t xml:space="preserve">ied </w:t>
      </w:r>
      <w:r w:rsidR="00315DB1">
        <w:rPr>
          <w:rFonts w:cstheme="minorHAnsi"/>
          <w:lang w:val="en-US"/>
        </w:rPr>
        <w:t>to rich datasets</w:t>
      </w:r>
      <w:r w:rsidR="00FA4006">
        <w:rPr>
          <w:rFonts w:cstheme="minorHAnsi"/>
          <w:lang w:val="en-US"/>
        </w:rPr>
        <w:t xml:space="preserve"> such as electronic-health records.</w:t>
      </w:r>
      <w:r w:rsidR="00C915B3">
        <w:rPr>
          <w:rFonts w:cstheme="minorHAnsi"/>
          <w:lang w:val="en-US"/>
        </w:rPr>
        <w:t xml:space="preserve"> </w:t>
      </w:r>
      <w:r w:rsidR="00151DC1">
        <w:rPr>
          <w:rFonts w:cstheme="minorHAnsi"/>
          <w:lang w:val="en-US"/>
        </w:rPr>
        <w:t xml:space="preserve">Recently, there has been great interest in </w:t>
      </w:r>
      <w:r w:rsidR="00C915B3">
        <w:rPr>
          <w:rFonts w:cstheme="minorHAnsi"/>
          <w:lang w:val="en-US"/>
        </w:rPr>
        <w:t>automated feature selection approaches using</w:t>
      </w:r>
      <w:r w:rsidR="00055729">
        <w:rPr>
          <w:rFonts w:cstheme="minorHAnsi"/>
          <w:lang w:val="en-US"/>
        </w:rPr>
        <w:t xml:space="preserve"> machine learning</w:t>
      </w:r>
      <w:r w:rsidR="00C915B3">
        <w:rPr>
          <w:rFonts w:cstheme="minorHAnsi"/>
          <w:lang w:val="en-US"/>
        </w:rPr>
        <w:t xml:space="preserve"> </w:t>
      </w:r>
      <w:r w:rsidR="00055729">
        <w:rPr>
          <w:rFonts w:cstheme="minorHAnsi"/>
          <w:lang w:val="en-US"/>
        </w:rPr>
        <w:t>(</w:t>
      </w:r>
      <w:r w:rsidR="00C915B3">
        <w:rPr>
          <w:rFonts w:cstheme="minorHAnsi"/>
          <w:lang w:val="en-US"/>
        </w:rPr>
        <w:t>ML</w:t>
      </w:r>
      <w:r w:rsidR="00055729">
        <w:rPr>
          <w:rFonts w:cstheme="minorHAnsi"/>
          <w:lang w:val="en-US"/>
        </w:rPr>
        <w:t>)</w:t>
      </w:r>
      <w:r w:rsidR="004B4806">
        <w:rPr>
          <w:rFonts w:cstheme="minorHAnsi"/>
          <w:lang w:val="en-US"/>
        </w:rPr>
        <w:t xml:space="preserve"> </w:t>
      </w:r>
      <w:r w:rsidR="00F82FB8">
        <w:rPr>
          <w:rFonts w:cstheme="minorHAnsi"/>
          <w:lang w:val="en-US"/>
        </w:rPr>
        <w:t xml:space="preserve">in </w:t>
      </w:r>
      <w:r w:rsidR="00151DC1">
        <w:rPr>
          <w:rFonts w:cstheme="minorHAnsi"/>
          <w:lang w:val="en-US"/>
        </w:rPr>
        <w:t>buil</w:t>
      </w:r>
      <w:r w:rsidR="00F82FB8">
        <w:rPr>
          <w:rFonts w:cstheme="minorHAnsi"/>
          <w:lang w:val="en-US"/>
        </w:rPr>
        <w:t>ding</w:t>
      </w:r>
      <w:r w:rsidR="00151DC1">
        <w:rPr>
          <w:rFonts w:cstheme="minorHAnsi"/>
          <w:lang w:val="en-US"/>
        </w:rPr>
        <w:t xml:space="preserve"> </w:t>
      </w:r>
      <w:r w:rsidR="00A31A09">
        <w:rPr>
          <w:rFonts w:cstheme="minorHAnsi"/>
          <w:lang w:val="en-US"/>
        </w:rPr>
        <w:t>prognostic</w:t>
      </w:r>
      <w:r w:rsidR="00151DC1">
        <w:rPr>
          <w:rFonts w:cstheme="minorHAnsi"/>
          <w:lang w:val="en-US"/>
        </w:rPr>
        <w:t xml:space="preserve"> </w:t>
      </w:r>
      <w:r w:rsidR="007162DE">
        <w:rPr>
          <w:rFonts w:cstheme="minorHAnsi"/>
          <w:lang w:val="en-US"/>
        </w:rPr>
        <w:t>prediction</w:t>
      </w:r>
      <w:r w:rsidR="00151DC1">
        <w:rPr>
          <w:rFonts w:cstheme="minorHAnsi"/>
          <w:lang w:val="en-US"/>
        </w:rPr>
        <w:t xml:space="preserve"> models</w:t>
      </w:r>
      <w:r w:rsidR="00A31A09">
        <w:rPr>
          <w:rFonts w:cstheme="minorHAnsi"/>
          <w:lang w:val="en-US"/>
        </w:rPr>
        <w:t>.</w:t>
      </w:r>
    </w:p>
    <w:p w14:paraId="7498D951" w14:textId="26D5E48D" w:rsidR="003B1EE3" w:rsidRDefault="003B1EE3" w:rsidP="00172234">
      <w:pPr>
        <w:rPr>
          <w:rFonts w:cstheme="minorHAnsi"/>
          <w:lang w:val="en-US"/>
        </w:rPr>
      </w:pPr>
    </w:p>
    <w:p w14:paraId="3D83E819" w14:textId="0C744D27" w:rsidR="00F0771E" w:rsidRPr="002D77AB" w:rsidRDefault="00226DA4" w:rsidP="00F0771E">
      <w:pPr>
        <w:rPr>
          <w:rFonts w:cstheme="minorHAnsi"/>
          <w:lang w:val="en-US"/>
        </w:rPr>
      </w:pPr>
      <w:r>
        <w:rPr>
          <w:rFonts w:cstheme="minorHAnsi"/>
          <w:lang w:val="en-US"/>
        </w:rPr>
        <w:t xml:space="preserve">A </w:t>
      </w:r>
      <w:r w:rsidR="00F0771E" w:rsidRPr="002D77AB">
        <w:rPr>
          <w:rFonts w:cstheme="minorHAnsi"/>
          <w:lang w:val="en-US"/>
        </w:rPr>
        <w:t>significant cause of perinatal brain injury is perinatal asphyxia, leading to hypoxic-</w:t>
      </w:r>
      <w:proofErr w:type="spellStart"/>
      <w:r w:rsidR="00F0771E" w:rsidRPr="002D77AB">
        <w:rPr>
          <w:rFonts w:cstheme="minorHAnsi"/>
          <w:lang w:val="en-US"/>
        </w:rPr>
        <w:t>ischaemic</w:t>
      </w:r>
      <w:proofErr w:type="spellEnd"/>
      <w:r w:rsidR="00F0771E" w:rsidRPr="002D77AB">
        <w:rPr>
          <w:rFonts w:cstheme="minorHAnsi"/>
          <w:lang w:val="en-US"/>
        </w:rPr>
        <w:t xml:space="preserve"> encephalopathy (HIE).</w:t>
      </w:r>
      <w:r w:rsidR="002D77AB">
        <w:rPr>
          <w:rFonts w:cstheme="minorHAnsi"/>
          <w:lang w:val="en-US"/>
        </w:rPr>
        <w:t xml:space="preserve"> </w:t>
      </w:r>
      <w:r w:rsidR="00F0771E" w:rsidRPr="002D77AB">
        <w:rPr>
          <w:rFonts w:cstheme="minorHAnsi"/>
          <w:lang w:val="en-US"/>
        </w:rPr>
        <w:t>HIE is often devastating, with life-long impacts for the infant</w:t>
      </w:r>
      <w:r w:rsidR="001B3FAE">
        <w:rPr>
          <w:rFonts w:cstheme="minorHAnsi"/>
          <w:lang w:val="en-US"/>
        </w:rPr>
        <w:t xml:space="preserve"> </w:t>
      </w:r>
      <w:r w:rsidR="001B3FAE">
        <w:rPr>
          <w:rFonts w:cstheme="minorHAnsi"/>
          <w:lang w:val="en-US"/>
        </w:rPr>
        <w:fldChar w:fldCharType="begin" w:fldLock="1"/>
      </w:r>
      <w:r w:rsidR="00164C38">
        <w:rPr>
          <w:rFonts w:cstheme="minorHAnsi"/>
          <w:lang w:val="en-US"/>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[3]","plainTextFormattedCitation":"[3]","previouslyFormattedCitation":"[3]"},"properties":{"noteIndex":0},"schema":"https://github.com/citation-style-language/schema/raw/master/csl-citation.json"}</w:instrText>
      </w:r>
      <w:r w:rsidR="001B3FAE">
        <w:rPr>
          <w:rFonts w:cstheme="minorHAnsi"/>
          <w:lang w:val="en-US"/>
        </w:rPr>
        <w:fldChar w:fldCharType="separate"/>
      </w:r>
      <w:r w:rsidR="001B3FAE" w:rsidRPr="001B3FAE">
        <w:rPr>
          <w:rFonts w:cstheme="minorHAnsi"/>
          <w:noProof/>
          <w:lang w:val="en-US"/>
        </w:rPr>
        <w:t>[3]</w:t>
      </w:r>
      <w:r w:rsidR="001B3FAE">
        <w:rPr>
          <w:rFonts w:cstheme="minorHAnsi"/>
          <w:lang w:val="en-US"/>
        </w:rPr>
        <w:fldChar w:fldCharType="end"/>
      </w:r>
      <w:r w:rsidR="001B3FAE">
        <w:rPr>
          <w:rFonts w:cstheme="minorHAnsi"/>
          <w:lang w:val="en-US"/>
        </w:rPr>
        <w:t xml:space="preserve"> </w:t>
      </w:r>
      <w:r w:rsidR="00F0771E" w:rsidRPr="002D77AB">
        <w:rPr>
          <w:rFonts w:cstheme="minorHAnsi"/>
          <w:lang w:val="en-US"/>
        </w:rPr>
        <w:t>and their family, as well as costing society millions of pounds in medical</w:t>
      </w:r>
      <w:r w:rsidR="00720531">
        <w:rPr>
          <w:rFonts w:cstheme="minorHAnsi"/>
          <w:lang w:val="en-US"/>
        </w:rPr>
        <w:t xml:space="preserve"> </w:t>
      </w:r>
      <w:r w:rsidR="00F0771E" w:rsidRPr="002D77AB">
        <w:rPr>
          <w:rFonts w:cstheme="minorHAnsi"/>
          <w:lang w:val="en-US"/>
        </w:rPr>
        <w:t>compensation, lost earnings and welfare support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[4]","plainTextFormattedCitation":"[4]","previouslyFormattedCitation":"[4]"},"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[4]</w:t>
      </w:r>
      <w:r w:rsidR="00164C38">
        <w:rPr>
          <w:rFonts w:cstheme="minorHAnsi"/>
          <w:lang w:val="en-US"/>
        </w:rPr>
        <w:fldChar w:fldCharType="end"/>
      </w:r>
      <w:r w:rsidR="00F0771E" w:rsidRPr="002D77AB">
        <w:rPr>
          <w:rFonts w:cstheme="minorHAnsi"/>
          <w:lang w:val="en-US"/>
        </w:rPr>
        <w:t>. In addition to the direct impact on infants and families, obstetric practice represents the biggest proportion of legal claims against the NHS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{"citationItems":[{"id":"ITEM-1","itemData":{"URL":"https://resolution.nhs.uk/resources/ten-years-of-maternity-claims-an-analysis-of-nhs-litigation-authority-data/","accessed":{"date-parts":[["2021","3","17"]]},"id":"ITEM-1","issued":{"date-parts":[["0"]]},"title":"Ten Years of Maternity Claims: An analysis of NHS Litigation Authority data - NHS Resolution","type":"webpage"},"uris":["http://www.mendeley.com/documents/?uuid=27e10718-46b1-3172-8a8b-324d8185881b"]}],"mendeley":{"formattedCitation":"[5]","plainTextFormattedCitation":"[5]","previouslyFormattedCitation":"[5]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[5]</w:t>
      </w:r>
      <w:r w:rsidR="00164C38">
        <w:rPr>
          <w:rFonts w:cstheme="minorHAnsi"/>
          <w:lang w:val="en-US"/>
        </w:rPr>
        <w:fldChar w:fldCharType="end"/>
      </w:r>
      <w:r w:rsidR="00F0771E" w:rsidRPr="002D77AB">
        <w:rPr>
          <w:rFonts w:cstheme="minorHAnsi"/>
          <w:lang w:val="en-US"/>
        </w:rPr>
        <w:t xml:space="preserve"> and even small improvements in outcomes would yield substantial health benefits for individuals and economic benefits for healthcare services. Indeed, perinatal asphyxia is the 12th biggest cause of disability life years worldwide</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{"citationItems":[{"id":"ITEM-1","itemData":{"DOI":"10.1016/S0140-6736(12)61689-4","ISSN":"1474547X","PMID":"23245608","abstract":"Background: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K.","non-dropping-particle":"","parse-names":false,"suffix":""},{"dropping-particle":"","family":"AlMazroa","given":"Mohammad A.","non-dropping-particle":"","parse-names":false,"suffix":""},{"dropping-particle":"","family":"Alvarado","given":"Miriam","non-dropping-particle":"","parse-names":false,"suffix":""},{"dropping-particle":"","family":"Anderson","given":"H.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H.","non-dropping-particle":"","parse-names":false,"suffix":""},{"dropping-particle":"","family":"Basáñez","given":"Maria 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é","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élè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 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Courville De Vaccaro","given":"Karen","non-dropping-particle":"","parse-names":false,"suffix":""},{"dropping-particle":"","family":"Couser","given":"William","non-dropping-particle":"","parse-names":false,"suffix":""},{"dropping-particle":"","family":"Cowie","given":"Benjamin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Eltahir Ali","given":"Suad","non-dropping-particle":"","parse-names":false,"suffix":""},{"dropping-particle":"","family":"Erskine","given":"Holly","non-dropping-particle":"","parse-names":false,"suffix":""},{"dropping-particle":"","family":"Erwin","given":"Patricia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P.","non-dropping-particle":"","parse-names":false,"suffix":""},{"dropping-particle":"","family":"Fèvre","given":"Eric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 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Lockett Ohno","given":"Summer","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Elena","non-dropping-particle":"","parse-names":false,"suffix":""},{"dropping-particle":"","family":"Meltzer","given":"Michele","non-dropping-particle":"","parse-names":false,"suffix":""},{"dropping-particle":"","family":"Memish","given":"Ziad A.","non-dropping-particle":"","parse-names":false,"suffix":""},{"dropping-particle":"","family":"Mensah","given":"George A.","non-dropping-particle":"","parse-names":false,"suffix":""},{"dropping-particle":"","family":"Merriman","given":"Tony R.","non-dropping-particle":"","parse-names":false,"suffix":""},{"dropping-particle":"","family":"Meyer","given":"Ana 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Durai","non-dropping-particle":"","parse-names":false,"suffix":""},{"dropping-particle":"","family":"Panozo Rivero","given":"Andrea","non-dropping-particle":"","parse-names":false,"suffix":""},{"dropping-particle":"","family":"Patten","given":"Scott B.","non-dropping-particle":"","parse-names":false,"suffix":""},{"dropping-particle":"","family":"Pearce","given":"Neil","non-dropping-particle":"","parse-names":false,"suffix":""},{"dropping-particle":"","family":"Perez Padilla","given":"Rogelio","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ébastien","non-dropping-particle":"","parse-names":false,"suffix":""},{"dropping-particle":"V.","family":"Polanczyk","given":"Guilherme","non-dropping-particle":"","parse-names":false,"suffix":""},{"dropping-particle":"","family":"Polinder","given":"Suzanne","non-dropping-particle":"","parse-names":false,"suffix":""},{"dropping-particle":"","family":"Pope","given":"C. Arden","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ü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Rodriguez De Leòn","given":"Felipe","non-dropping-particl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lberberg","given":"Donald","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 Hsiu","non-dropping-particle":"","parse-names":false,"suffix":""},{"dropping-particle":"","family":"Zaidi","given":"Anita K.M.","non-dropping-particle":"","parse-names":false,"suffix":""},{"dropping-particle":"","family":"Zheng","given":"Zhi Jie","non-dropping-particle":"","parse-names":false,"suffix":""},{"dropping-particle":"","family":"Zonies","given":"David","non-dropping-particle":"","parse-names":false,"suffix":""},{"dropping-particle":"","family":"Lopez","given":"Alan D.","non-dropping-particle":"","parse-names":false,"suffix":""}],"container-title":"The Lancet","id":"ITEM-1","issue":"9859","issued":{"date-parts":[["2012","12","1"]]},"page":"2197-2223","publisher":"Lancet Publishing Group","title":"Disability-adjusted life years (DALYs) for 291 diseases and injuries in 21 regions, 1990-2010: A systematic analysis for the Global Burden of Disease Study 2010","type":"article-journal","volume":"380"},"uris":["http://www.mendeley.com/documents/?uuid=247c374f-e59b-39ce-b939-74842dc08419"]}],"mendeley":{"formattedCitation":"[6]","plainTextFormattedCitation":"[6]","previouslyFormattedCitation":"[6]"},"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[6]</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i.e.,</w:t>
      </w:r>
      <w:r w:rsidR="00F0771E" w:rsidRPr="002D77AB">
        <w:rPr>
          <w:rFonts w:cstheme="minorHAnsi"/>
          <w:lang w:val="en-US"/>
        </w:rPr>
        <w:t xml:space="preserve"> a bigger impact than diabetes mellitus or tuberculosis), and even those infants with mild asphyxia have worse measures in cognition, movement and social metrics when compared to their peers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study","type":"article-journal","volume":"9"},"uris":["http://www.mendeley.com/documents/?uuid=61be0cad-83c0-4471-94c0-b363ffb6fc01"]},{"id":"ITEM-2","itemData":{"DOI":"10.1136/adc.2009.176065","ISSN":"00039888","PMID":"20705720","abstract":"Objective: Poor condition at birth may impact on IQ, although its effect on other measures of neurodevelopment is unclear. The authors' aim was to determine whether infants receiving resuscitation after birth have reduced scores in measures of attention, memory and language skills or the need for educational support at school even in the absence of clinical encephalopathy. Methods: Three groups of term infants were identified from the Avon longitudinal study of parents and children: infants resuscitated at birth but asymptomatic for encephalopathy (n=612), infants resuscitated who developed symptoms of encephalopathy (n=40) and the reference infants who were not resuscitated and had no further neonatal care (n=8080). Measures of attention, language, memory and the need for educational support were obtained for children between 8 years and 11 years. Test results (standardised to a mean of 100 and SD of 15) were adjusted for clinical and social covariates. Missing covariate data were imputed using chained equations. Results: Infants asymptomatic after resuscitation had similar scores to those not requiring resuscitation for all measures while infants who developed encephalopathy had lower working memory (-6.65 (-12.34 to -0.96)), reading accuracy (-7.95 (-13.28 to -2.63)) and comprehension (-9.32 (-14.47 to -4.17) scores and increased risk of receiving educational support (OR 6.24 (1.52 to 26.43)) than infants thought to be well at birth, although there was little evidence for an association after excluding infants who developed cerebral palsy. Conclusions: The authors found no evidence that infants who were resuscitated but remained well afterwards differed from those not requiring resuscitation in the aspects of neuropsychological functioning assessed in this study. Infants who developed neonatal encephalopathy had evidence of worse functioning, particularly in language skills and were more likely to receive educational support at school.","author":[{"dropping-particle":"","family":"Odd","given":"David E.","non-dropping-particle":"","parse-names":false,"suffix":""},{"dropping-particle":"","family":"Whitelaw","given":"Andrew","non-dropping-particle":"","parse-names":false,"suffix":""},{"dropping-particle":"","family":"Gunnell","given":"David","non-dropping-particle":"","parse-names":false,"suffix":""},{"dropping-particle":"","family":"Lewis","given":"Glyn","non-dropping-particle":"","parse-names":false,"suffix":""}],"container-title":"Archives of Disease in Childhood","id":"ITEM-2","issue":"1","issued":{"date-parts":[["2011","1","1"]]},"page":"30-37","publisher":"BMJ Publishing Group Ltd","title":"The association between birth condition and neuropsychological functioning and educational attainment at school age: A cohort study","type":"article-journal","volume":"96"},"uris":["http://www.mendeley.com/documents/?uuid=389934c6-29b6-3e07-a15d-e6bb4e75f535"]},{"id":"ITEM-3","itemData":{"DOI":"10.1136/adc.2007.123745","ISSN":"13592998","PMID":"17916594","abstract":"Objective: To investigate the association of brief (0-5 minutes) and prolonged (&gt;5 minutes) low Apgar scores (&lt;7) in non-encephalopathic infants with educational achievement at age 15-16 and intelligence quotients (IQs) at age 18. Design: Population-based record-linkage cohort study of 176 524 male infants born throughout Sweden between 1973 and 1976. Patients and methods: Data from the Medical Birth Register were linked to Population and Housing Censuses, conscription medical records (IQ), and school registers (summary school grade). Infants were classified according to the time for their Apgar score to reach 7 or above. Premature infants and those with encephalopathy were excluded. Results: Infants with brief (OR = 1.14 (1.03-1.27)) or prolonged (OR = 1.35 (1.07-1.69)) low Apgar scores were more likely to have a low IQ score. There was an increased risk of a low IQ score (p = 0.003) the longer it took the infant to achieve a normal Apgar score. There was no association between brief (OR = 0.96 (0.87-1.06)) or prolonged (OR = 1.01 (0.81-1.26)) low Apgar scores and a low summary school grade at age 15-16, or evidence for a trend in the risk of a low school grade (p = 0.61). The estimated proportion with an IQ score below 81 due to transiently low Apgar scores was only 0.7%. Conclusions: Infants in poor condition at birth have increased risk of poor functioning in cognitive tests in later life. This supports the idea of a \"continuum of reproductive casualty\", although the small individual effect suggests that these mild degrees of fetal compromise are not of clinical importance.","author":[{"dropping-particle":"","family":"Odd","given":"D. E.","non-dropping-particle":"","parse-names":false,"suffix":""},{"dropping-particle":"","family":"Rasmussen","given":"F.","non-dropping-particle":"","parse-names":false,"suffix":""},{"dropping-particle":"","family":"Gunnell","given":"D.","non-dropping-particle":"","parse-names":false,"suffix":""},{"dropping-particle":"","family":"Lewis","given":"G.","non-dropping-particle":"","parse-names":false,"suffix":""},{"dropping-particle":"","family":"Whitelaw","given":"A.","non-dropping-particle":"","parse-names":false,"suffix":""}],"container-title":"Archives of Disease in Childhood: Fetal and Neonatal Edition","id":"ITEM-3","issue":"2","issued":{"date-parts":[["2008","3"]]},"publisher":"Arch Dis Child Fetal Neonatal Ed","title":"A cohort study of low Apgar scores and cognitive outcomes","type":"article-journal","volume":"93"},"uris":["http://www.mendeley.com/documents/?uuid=6772391a-4fdc-32e1-961e-b09560cff6fb"]}],"mendeley":{"formattedCitation":"[7]–[9]","plainTextFormattedCitation":"[7]–[9]","previouslyFormattedCitation":"[7]–[9]"},"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[7]–[9]</w:t>
      </w:r>
      <w:r w:rsidR="00164C38">
        <w:rPr>
          <w:rFonts w:cstheme="minorHAnsi"/>
          <w:lang w:val="en-US"/>
        </w:rPr>
        <w:fldChar w:fldCharType="end"/>
      </w:r>
      <w:r w:rsidR="00F0771E" w:rsidRPr="002D77AB">
        <w:rPr>
          <w:rFonts w:cstheme="minorHAnsi"/>
          <w:lang w:val="en-US"/>
        </w:rPr>
        <w:t xml:space="preserve"> and the true impact of this and other post-term related pathologies, and the economic implications, are unclear</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{"citationItems":[{"id":"ITEM-1","itemData":{"ISSN":"08203946","PMID":"7728693","abstract":"Objective: To determine the cost-effectiveness of induction of labour versus serial fetal monitoring while awaiting spontaneous labour in postterm pregnancies. Design: Cost-effectiveness and cost-minimization analyses conducted as part of a Canadian multicentre randomized clinical trial. Setting: Twenty-two Canadian hospitals, of which 19 were teaching hospitals and 3 were community hospitals. Patients: Women with uncomplicated pregnancies of 41 or more weeks' gestation were randomly assigned to induction of labour or serial antenatal monitoring. Of the 3418 women enrolled, no data were received on 11. Therefore, results were based on data from 1701 women in the induction arm of the study and 1706 women in the monitoring arm. Main outcome measures: Perinatal mortality and neonatal morbidity, rates of cesarean section and health care costs. Hospital costing models were developed specifically for the study. Data on use of major resources (e.g., length of hospital stay, surgical procedures, major diagnostic tests and procedures, and medications) for all trial participants were collected and combined with data on minor tests and procedures (e.g., laboratory tests) abstracted from a detailed review of medical records of a sample of patients. Results: Because the results of the clinical trial showed a nonsignificant difference in perinatal mortality and neonatal morbidity between the induction and monitoring arms, the authors conducted a cost-minimization rather than a cost-effectiveness analysis. The mean cost per patient with a postterm pregnancy managed through monitoring was $3132 (95% confidence interval [CI] $3090 to $3174) and per patient who underwent induction of labour was $2939 (95% CI $2898 to $2981), for a difference of $193. The significantly higher (P &lt; 0.0001) mean cost per patient in the monitoring arm was due mainly to the costs of additional monitoring and the significantly higher rates of cesarean section among these patients. Estimated conservatively, the savings resulting from a universal policy of managing postterm pregnancies by induction of labour in Canada may be as high as $8 million a year. Conclusions: A policy of managing postterm pregnancy through induction of labour not only results in more favourable outcomes than a monitoring strategy but does so at a lower cost.","author":[{"dropping-particle":"","family":"Goeree","given":"R.","non-dropping-particle":"","parse-names":false,"suffix":""},{"dropping-particle":"","family":"Hannah","given":"M.","non-dropping-particle":"","parse-names":false,"suffix":""},{"dropping-particle":"","family":"Hewson","given":"S.","non-dropping-particle":"","parse-names":false,"suffix":""}],"container-title":"CMAJ","id":"ITEM-1","issue":"9","issued":{"date-parts":[["1995"]]},"page":"1445-1450","publisher":"Canadian Medical Association","title":"Cost-effectiveness of induction of labour versus serial antenatal monitoring in the Canadian multicentre postterm pregnancy trial","type":"article-journal","volume":"152"},"uris":["http://www.mendeley.com/documents/?uuid=a667544f-8471-3b0a-bba1-a8985d570807"]}],"mendeley":{"formattedCitation":"[10]","plainTextFormattedCitation":"[10]","previouslyFormattedCitation":"[10]"},"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[10]</w:t>
      </w:r>
      <w:r w:rsidR="00164C38">
        <w:rPr>
          <w:rFonts w:cstheme="minorHAnsi"/>
          <w:lang w:val="en-US"/>
        </w:rPr>
        <w:fldChar w:fldCharType="end"/>
      </w:r>
      <w:r w:rsidR="00F0771E" w:rsidRPr="002D77AB">
        <w:rPr>
          <w:rFonts w:cstheme="minorHAnsi"/>
          <w:lang w:val="en-US"/>
        </w:rPr>
        <w:t xml:space="preserve">. </w:t>
      </w:r>
      <w:r w:rsidR="002D77AB" w:rsidRPr="002D77AB">
        <w:rPr>
          <w:rFonts w:cstheme="minorHAnsi"/>
          <w:lang w:val="en-US"/>
        </w:rPr>
        <w:t>However,</w:t>
      </w:r>
      <w:r w:rsidR="00F0771E" w:rsidRPr="002D77AB">
        <w:rPr>
          <w:rFonts w:cstheme="minorHAnsi"/>
          <w:lang w:val="en-US"/>
        </w:rPr>
        <w:t xml:space="preserve"> interventions such as induction of </w:t>
      </w:r>
      <w:proofErr w:type="spellStart"/>
      <w:r w:rsidR="00F0771E" w:rsidRPr="002D77AB">
        <w:rPr>
          <w:rFonts w:cstheme="minorHAnsi"/>
          <w:lang w:val="en-US"/>
        </w:rPr>
        <w:t>labour</w:t>
      </w:r>
      <w:proofErr w:type="spellEnd"/>
      <w:r w:rsidR="00F0771E" w:rsidRPr="002D77AB">
        <w:rPr>
          <w:rFonts w:cstheme="minorHAnsi"/>
          <w:lang w:val="en-US"/>
        </w:rPr>
        <w:t xml:space="preserve"> or operative delivery, can be employed if the risks of continuing the pregnancy are higher than delivery: for either the mother or the infant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[11]","plainTextFormattedCitation":"[11]","previouslyFormattedCitation":"[11]"},"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[11]</w:t>
      </w:r>
      <w:r w:rsidR="00164C38">
        <w:rPr>
          <w:rFonts w:cstheme="minorHAnsi"/>
          <w:lang w:val="en-US"/>
        </w:rPr>
        <w:fldChar w:fldCharType="end"/>
      </w:r>
      <w:r w:rsidR="00F0771E" w:rsidRPr="002D77AB">
        <w:rPr>
          <w:rFonts w:cstheme="minorHAnsi"/>
          <w:lang w:val="en-US"/>
        </w:rPr>
        <w:t xml:space="preserve">. This lack of clear data on the perinatal risks and </w:t>
      </w:r>
      <w:r w:rsidR="002D77AB" w:rsidRPr="002D77AB">
        <w:rPr>
          <w:rFonts w:cstheme="minorHAnsi"/>
          <w:lang w:val="en-US"/>
        </w:rPr>
        <w:t>long-term</w:t>
      </w:r>
      <w:r w:rsidR="00F0771E" w:rsidRPr="002D77AB">
        <w:rPr>
          <w:rFonts w:cstheme="minorHAnsi"/>
          <w:lang w:val="en-US"/>
        </w:rPr>
        <w:t xml:space="preserve"> outcomes of these infants likely contributes to the variation in management of mothers with post-term babies</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{"citationItems":[{"id":"ITEM-1","itemData":{"DOI":"10.1002/14651858.cd004945.pub3","ISSN":"1469-493X","PMID":"22696345","abstract":"BACKGROUND As a pregnancy continues beyond term the risks of babies dying inside the womb or in the immediate newborn period increase. Whether a policy of labour induction at a predetermined gestational age can reduce this increased risk is the subject of this review. OBJECTIVES To evaluate the benefits and harms of a policy of labour induction at term or post-term compared with awaiting spontaneous labour or later induction of labour. SEARCH METHODS We searched the Cochrane Pregnancy and Childbirth Group's Trials Register (31 March 2012). SELECTION CRITERIA Randomised controlled trials conducted in women at or beyond term. The eligible trials were those comparing a policy of labour induction with a policy of awaiting spontaneous onset of labour. Cluster-randomised trials and cross-over trials are not included. Quasi-random allocation schemes such as alternation, case record numbers or open random-number lists were not eligible. DATA COLLECTION AND ANALYSIS Two review authors independently assessed trials for inclusion. Two review authors independently assessed trial quality and extracted data. Data were checked for accuracy. Outcomes are analysed in two main categories: gestational age and cervix status. MAIN RESULTS We included 22 trials reporting on 9383 women. The trials were generally at moderate risk of bias.Compared with a policy of expectant management, a policy of labour induction was associated with fewer (all-cause) perinatal deaths: risk ratio (RR) 0.31, 95% confidence interval (CI) 0.12 to 0.88; 17 trials, 7407 women. There was one perinatal death in the labour induction policy group compared with 13 perinatal deaths in the expectant management group. The number needed to treat to benefit (NNTB) with induction of labour in order to prevent one perinatal death was 410 (95% CI 322 to 1492).For the primary outcome of perinatal death and most other outcomes, no differences between timing of induction subgroups were seen; the majority of trials adopted a policy of induction at 41 completed weeks (287 days) or more.Fewer babies in the labour induction group had meconium aspiration syndrome (RR 0.50, 95% CI 0.34 to 0.73; eight trials, 2371 infants) compared with a policy of expectant management. There was no statistically significant difference between the rates of neonatal intensive care unit (NICU) admission for induction compared with expectant management (RR 0.90, 95% CI 0.78 to 1.04; 10 trials, 6161 infants). For women in the policy of induct…","author":[{"dropping-particle":"","family":"Gülmezoglu","given":"A Metin","non-dropping-particle":"","parse-names":false,"suffix":""},{"dropping-particle":"","family":"Crowther","given":"Caroline A","non-dropping-particle":"","parse-names":false,"suffix":""},{"dropping-particle":"","family":"Middleton","given":"Philippa","non-dropping-particle":"","parse-names":false,"suffix":""},{"dropping-particle":"","family":"Heatley","given":"Emer","non-dropping-particle":"","parse-names":false,"suffix":""}],"container-title":"Cochrane Database of Systematic Reviews","id":"ITEM-1","issue":"6","issued":{"date-parts":[["2012","6","13"]]},"publisher":"Wiley","title":"Induction of labour for improving birth outcomes for women at or beyond term","type":"article-journal","volume":"6"},"uris":["http://www.mendeley.com/documents/?uuid=d30e5022-6a13-375d-a02c-0eb0fe6015a0"]}],"mendeley":{"formattedCitation":"[12]","plainTextFormattedCitation":"[12]","previouslyFormattedCitation":"[12]"},"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[12]</w:t>
      </w:r>
      <w:r w:rsidR="00164C38">
        <w:rPr>
          <w:rFonts w:cstheme="minorHAnsi"/>
          <w:lang w:val="en-US"/>
        </w:rPr>
        <w:fldChar w:fldCharType="end"/>
      </w:r>
      <w:r w:rsidR="00F0771E" w:rsidRPr="002D77AB">
        <w:rPr>
          <w:rFonts w:cstheme="minorHAnsi"/>
          <w:lang w:val="en-US"/>
        </w:rPr>
        <w:t xml:space="preserve"> and current NICE guidelines </w:t>
      </w:r>
      <w:proofErr w:type="spellStart"/>
      <w:r w:rsidR="00F0771E" w:rsidRPr="002D77AB">
        <w:rPr>
          <w:rFonts w:cstheme="minorHAnsi"/>
          <w:lang w:val="en-US"/>
        </w:rPr>
        <w:t>recognise</w:t>
      </w:r>
      <w:proofErr w:type="spellEnd"/>
      <w:r w:rsidR="00F0771E" w:rsidRPr="002D77AB">
        <w:rPr>
          <w:rFonts w:cstheme="minorHAnsi"/>
          <w:lang w:val="en-US"/>
        </w:rPr>
        <w:t xml:space="preserve"> </w:t>
      </w:r>
      <w:r w:rsidR="005279D0" w:rsidRPr="002D77AB">
        <w:rPr>
          <w:rFonts w:cstheme="minorHAnsi"/>
          <w:lang w:val="en-US"/>
        </w:rPr>
        <w:t>this and</w:t>
      </w:r>
      <w:r w:rsidR="00F0771E" w:rsidRPr="002D77AB">
        <w:rPr>
          <w:rFonts w:cstheme="minorHAnsi"/>
          <w:lang w:val="en-US"/>
        </w:rPr>
        <w:t xml:space="preserve"> suggest that a research priority is to </w:t>
      </w:r>
      <w:r w:rsidR="0004753E">
        <w:rPr>
          <w:rFonts w:cstheme="minorHAnsi"/>
          <w:lang w:val="en-US"/>
        </w:rPr>
        <w:t>“</w:t>
      </w:r>
      <w:r w:rsidR="00F0771E" w:rsidRPr="002D77AB">
        <w:rPr>
          <w:rFonts w:cstheme="minorHAnsi"/>
          <w:lang w:val="en-US"/>
        </w:rPr>
        <w:t xml:space="preserve">identify babies at particularly high risk of </w:t>
      </w:r>
      <w:r w:rsidR="00F0771E" w:rsidRPr="002D77AB">
        <w:rPr>
          <w:rFonts w:cstheme="minorHAnsi"/>
          <w:lang w:val="en-US"/>
        </w:rPr>
        <w:lastRenderedPageBreak/>
        <w:t>morbidity and mortality who will benefit from induction and therefore avoid induction for babies who do not need it</w:t>
      </w:r>
      <w:r w:rsidR="0004753E">
        <w:rPr>
          <w:rFonts w:cstheme="minorHAnsi"/>
          <w:lang w:val="en-US"/>
        </w:rPr>
        <w:t>”</w:t>
      </w:r>
      <w:r w:rsidR="00164C38">
        <w:rPr>
          <w:rFonts w:cstheme="minorHAnsi"/>
          <w:lang w:val="en-US"/>
        </w:rPr>
        <w:t xml:space="preserve"> </w:t>
      </w:r>
      <w:r w:rsidR="00164C38">
        <w:rPr>
          <w:rFonts w:cstheme="minorHAnsi"/>
          <w:lang w:val="en-US"/>
        </w:rPr>
        <w:fldChar w:fldCharType="begin" w:fldLock="1"/>
      </w:r>
      <w:r w:rsidR="00164C38">
        <w:rPr>
          <w:rFonts w:cstheme="minorHAnsi"/>
          <w:lang w:val="en-US"/>
        </w:rPr>
        <w:instrText>ADDIN CSL_CITATION {"citationItems":[{"id":"ITEM-1","itemData":{"id":"ITEM-1","issued":{"date-parts":[["2008"]]},"title":"Inducing labour Clinical guideline","type":"report"},"uris":["http://www.mendeley.com/documents/?uuid=39445069-4e57-3620-abcf-3eb8d7957004"]}],"mendeley":{"formattedCitation":"[13]","plainTextFormattedCitation":"[13]","previouslyFormattedCitation":"[13]"},"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[13]</w:t>
      </w:r>
      <w:r w:rsidR="00164C38">
        <w:rPr>
          <w:rFonts w:cstheme="minorHAnsi"/>
          <w:lang w:val="en-US"/>
        </w:rPr>
        <w:fldChar w:fldCharType="end"/>
      </w:r>
      <w:r w:rsidR="00F0771E"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3A6B3B70" w:rsidR="00F0771E" w:rsidRPr="00B30500" w:rsidRDefault="00226DA4" w:rsidP="00F0771E">
      <w:pPr>
        <w:rPr>
          <w:rFonts w:cstheme="minorHAnsi"/>
          <w:lang w:val="en-US"/>
        </w:rPr>
      </w:pPr>
      <w:r>
        <w:rPr>
          <w:rFonts w:cstheme="minorHAnsi"/>
          <w:lang w:val="en-US"/>
        </w:rPr>
        <w:t>Established r</w:t>
      </w:r>
      <w:r w:rsidR="00F0771E" w:rsidRPr="00B30500">
        <w:rPr>
          <w:rFonts w:cstheme="minorHAnsi"/>
          <w:lang w:val="en-US"/>
        </w:rPr>
        <w:t xml:space="preserve">isk factors for </w:t>
      </w:r>
      <w:r>
        <w:rPr>
          <w:rFonts w:cstheme="minorHAnsi"/>
          <w:lang w:val="en-US"/>
        </w:rPr>
        <w:t xml:space="preserve">HIE </w:t>
      </w:r>
      <w:r w:rsidR="00F0771E" w:rsidRPr="00B30500">
        <w:rPr>
          <w:rFonts w:cstheme="minorHAnsi"/>
          <w:lang w:val="en-US"/>
        </w:rPr>
        <w:t xml:space="preserve">have been derived by a number of </w:t>
      </w:r>
      <w:r w:rsidR="00AD623C" w:rsidRPr="00B30500">
        <w:rPr>
          <w:rFonts w:cstheme="minorHAnsi"/>
          <w:lang w:val="en-US"/>
        </w:rPr>
        <w:t>papers,</w:t>
      </w:r>
      <w:r w:rsidR="00F0771E" w:rsidRPr="00B30500">
        <w:rPr>
          <w:rFonts w:cstheme="minorHAnsi"/>
          <w:lang w:val="en-US"/>
        </w:rPr>
        <w:t xml:space="preserve"> although one of the most cited remains the work by Badawi et al</w:t>
      </w:r>
      <w:r w:rsidR="00164C38">
        <w:rPr>
          <w:rFonts w:cstheme="minorHAnsi"/>
          <w:lang w:val="en-US"/>
        </w:rPr>
        <w:t xml:space="preserve"> </w:t>
      </w:r>
      <w:r w:rsidR="00164C38">
        <w:rPr>
          <w:rFonts w:cstheme="minorHAnsi"/>
          <w:lang w:val="en-US"/>
        </w:rPr>
        <w:fldChar w:fldCharType="begin" w:fldLock="1"/>
      </w:r>
      <w:r w:rsidR="000760FE">
        <w:rPr>
          <w:rFonts w:cstheme="minorHAnsi"/>
          <w:lang w:val="en-US"/>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study","type":"article-journal","volume":"317"},"uris":["http://www.mendeley.com/documents/?uuid=6944d529-e2f0-45cb-a61e-66f9d9cb67e5"]}],"mendeley":{"formattedCitation":"[14], [15]","plainTextFormattedCitation":"[14], [15]","previouslyFormattedCitation":"[14], [15]"},"properties":{"noteIndex":0},"schema":"https://github.com/citation-style-language/schema/raw/master/csl-citation.json"}</w:instrText>
      </w:r>
      <w:r w:rsidR="00164C38">
        <w:rPr>
          <w:rFonts w:cstheme="minorHAnsi"/>
          <w:lang w:val="en-US"/>
        </w:rPr>
        <w:fldChar w:fldCharType="separate"/>
      </w:r>
      <w:r w:rsidR="00164C38" w:rsidRPr="00164C38">
        <w:rPr>
          <w:rFonts w:cstheme="minorHAnsi"/>
          <w:noProof/>
          <w:lang w:val="en-US"/>
        </w:rPr>
        <w:t>[14], [15]</w:t>
      </w:r>
      <w:r w:rsidR="00164C38">
        <w:rPr>
          <w:rFonts w:cstheme="minorHAnsi"/>
          <w:lang w:val="en-US"/>
        </w:rPr>
        <w:fldChar w:fldCharType="end"/>
      </w:r>
      <w:r w:rsidR="00F0771E" w:rsidRPr="00B30500">
        <w:rPr>
          <w:rFonts w:cstheme="minorHAnsi"/>
          <w:lang w:val="en-US"/>
        </w:rPr>
        <w:t>. This work identifies 35 potential risk factors in an Australian population (</w:t>
      </w:r>
      <w:r w:rsidR="00B30500" w:rsidRPr="00B30500">
        <w:rPr>
          <w:rFonts w:cstheme="minorHAnsi"/>
          <w:b/>
          <w:bCs/>
          <w:lang w:val="en-US"/>
        </w:rPr>
        <w:t xml:space="preserve">Supplementary </w:t>
      </w:r>
      <w:r w:rsidR="00F0771E" w:rsidRPr="00B30500">
        <w:rPr>
          <w:rFonts w:cstheme="minorHAnsi"/>
          <w:b/>
          <w:bCs/>
          <w:lang w:val="en-US"/>
        </w:rPr>
        <w:t>Table 1</w:t>
      </w:r>
      <w:r w:rsidR="00F0771E" w:rsidRPr="00B30500">
        <w:rPr>
          <w:rFonts w:cstheme="minorHAnsi"/>
          <w:lang w:val="en-US"/>
        </w:rPr>
        <w:t>) and together have been cited over 700 times (Data extracted Web of Science 17/12/2019).</w:t>
      </w:r>
      <w:r w:rsidR="008C0E49">
        <w:rPr>
          <w:rFonts w:cstheme="minorHAnsi"/>
          <w:lang w:val="en-US"/>
        </w:rPr>
        <w:t xml:space="preserve"> Here w</w:t>
      </w:r>
      <w:r w:rsidR="00F0771E" w:rsidRPr="00B30500">
        <w:rPr>
          <w:rFonts w:cstheme="minorHAnsi"/>
          <w:lang w:val="en-US"/>
        </w:rPr>
        <w:t xml:space="preserve">e investigate the potential of </w:t>
      </w:r>
      <w:r w:rsidR="008C0E49">
        <w:rPr>
          <w:rFonts w:cstheme="minorHAnsi"/>
          <w:lang w:val="en-US"/>
        </w:rPr>
        <w:t xml:space="preserve">automated features selection approaches and ML classification </w:t>
      </w:r>
      <w:r w:rsidR="00F0771E" w:rsidRPr="00B30500">
        <w:rPr>
          <w:rFonts w:cstheme="minorHAnsi"/>
          <w:lang w:val="en-US"/>
        </w:rPr>
        <w:t>to simplify the development of a clinical prediction model</w:t>
      </w:r>
      <w:r w:rsidR="007618EA">
        <w:rPr>
          <w:rFonts w:cstheme="minorHAnsi"/>
          <w:lang w:val="en-US"/>
        </w:rPr>
        <w:t xml:space="preserve">ling </w:t>
      </w:r>
      <w:r w:rsidR="00F0771E" w:rsidRPr="00B30500">
        <w:rPr>
          <w:rFonts w:cstheme="minorHAnsi"/>
          <w:lang w:val="en-US"/>
        </w:rPr>
        <w:t>for HIE.</w:t>
      </w:r>
    </w:p>
    <w:p w14:paraId="77A57840" w14:textId="77777777" w:rsidR="00F0771E" w:rsidRPr="00F0771E" w:rsidRDefault="00F0771E" w:rsidP="00F0771E">
      <w:pPr>
        <w:rPr>
          <w:rFonts w:cstheme="minorHAnsi"/>
          <w:color w:val="FF0000"/>
          <w:lang w:val="en-US"/>
        </w:rPr>
      </w:pPr>
    </w:p>
    <w:p w14:paraId="7E03D32B" w14:textId="20FCD5C1" w:rsidR="00F0771E" w:rsidRPr="00B30500" w:rsidRDefault="00F0771E" w:rsidP="00F0771E">
      <w:pPr>
        <w:rPr>
          <w:rFonts w:cstheme="minorHAnsi"/>
          <w:lang w:val="en-US"/>
        </w:rPr>
      </w:pPr>
      <w:r w:rsidRPr="00B30500">
        <w:rPr>
          <w:rFonts w:cstheme="minorHAnsi"/>
          <w:lang w:val="en-US"/>
        </w:rPr>
        <w:t>This work is based on the Collaborative Perinatal Project</w:t>
      </w:r>
      <w:r w:rsidR="000760FE">
        <w:rPr>
          <w:rFonts w:cstheme="minorHAnsi"/>
          <w:lang w:val="en-US"/>
        </w:rPr>
        <w:t xml:space="preserve"> </w:t>
      </w:r>
      <w:r w:rsidR="000760FE">
        <w:rPr>
          <w:rFonts w:cstheme="minorHAnsi"/>
          <w:lang w:val="en-US"/>
        </w:rPr>
        <w:fldChar w:fldCharType="begin" w:fldLock="1"/>
      </w:r>
      <w:r w:rsidR="000760FE">
        <w:rPr>
          <w:rFonts w:cstheme="minorHAnsi"/>
          <w:lang w:val="en-US"/>
        </w:rPr>
        <w:instrText>ADDIN CSL_CITATION {"citationItems":[{"id":"ITEM-1","itemData":{"ISSN":"00217263","PMID":"5104887","author":[{"dropping-particle":"","family":"Cooke","given":"R. E.","non-dropping-particle":"","parse-names":false,"suffix":""}],"container-title":"The Johns Hopkins medical journal","id":"ITEM-1","issue":"5","issued":{"date-parts":[["1971","5"]]},"page":"237","title":"The Johns Hopkins Collaborative Perinatal Project. A symposium. Introduction.","type":"article-journal","volume":"128"},"uris":["http://www.mendeley.com/documents/?uuid=7b0e3e55-921c-3ec6-af5e-1b06f00b1682"]}],"mendeley":{"formattedCitation":"[16]","plainTextFormattedCitation":"[16]","previouslyFormattedCitation":"[16]"},"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[16]</w:t>
      </w:r>
      <w:r w:rsidR="000760FE">
        <w:rPr>
          <w:rFonts w:cstheme="minorHAnsi"/>
          <w:lang w:val="en-US"/>
        </w:rPr>
        <w:fldChar w:fldCharType="end"/>
      </w:r>
      <w:r w:rsidRPr="00B30500">
        <w:rPr>
          <w:rFonts w:cstheme="minorHAnsi"/>
          <w:lang w:val="en-US"/>
        </w:rPr>
        <w:t xml:space="preserve"> (CPP). Collection of data was from 14 units across the United States and showed little evidence of selection bias</w:t>
      </w:r>
      <w:r w:rsidR="000760FE">
        <w:rPr>
          <w:rFonts w:cstheme="minorHAnsi"/>
          <w:lang w:val="en-US"/>
        </w:rPr>
        <w:t xml:space="preserve"> </w:t>
      </w:r>
      <w:r w:rsidR="000760FE">
        <w:rPr>
          <w:rFonts w:cstheme="minorHAnsi"/>
          <w:lang w:val="en-US"/>
        </w:rPr>
        <w:fldChar w:fldCharType="begin" w:fldLock="1"/>
      </w:r>
      <w:r w:rsidR="00686879">
        <w:rPr>
          <w:rFonts w:cstheme="minorHAnsi"/>
          <w:lang w:val="en-US"/>
        </w:rPr>
        <w:instrText>ADDIN CSL_CITATION {"citationItems":[{"id":"ITEM-1","itemData":{"URL":"https://books.google.co.uk/books?id=dttsAAAAMAAJ&amp;printsec=frontcover&amp;source=gbs_ge_summary_r&amp;cad=0#v=onepage&amp;q&amp;f=false","accessed":{"date-parts":[["2021","3","17"]]},"id":"ITEM-1","issued":{"date-parts":[["0"]]},"title":"The Women and Their Pregnancies: The Collaborative Perinatal Study of the ... - Kenneth R. Niswander, Myron Gordon - Google Books","type":"webpage"},"uris":["http://www.mendeley.com/documents/?uuid=193fd01c-f620-3ac7-8291-c60a2ed324ed"]}],"mendeley":{"formattedCitation":"[17]","plainTextFormattedCitation":"[17]","previouslyFormattedCitation":"[17]"},"properties":{"noteIndex":0},"schema":"https://github.com/citation-style-language/schema/raw/master/csl-citation.json"}</w:instrText>
      </w:r>
      <w:r w:rsidR="000760FE">
        <w:rPr>
          <w:rFonts w:cstheme="minorHAnsi"/>
          <w:lang w:val="en-US"/>
        </w:rPr>
        <w:fldChar w:fldCharType="separate"/>
      </w:r>
      <w:r w:rsidR="000760FE" w:rsidRPr="000760FE">
        <w:rPr>
          <w:rFonts w:cstheme="minorHAnsi"/>
          <w:noProof/>
          <w:lang w:val="en-US"/>
        </w:rPr>
        <w:t>[17]</w:t>
      </w:r>
      <w:r w:rsidR="000760FE">
        <w:rPr>
          <w:rFonts w:cstheme="minorHAnsi"/>
          <w:lang w:val="en-US"/>
        </w:rPr>
        <w:fldChar w:fldCharType="end"/>
      </w:r>
      <w:r w:rsidRPr="00B30500">
        <w:rPr>
          <w:rFonts w:cstheme="minorHAnsi"/>
          <w:lang w:val="en-US"/>
        </w:rPr>
        <w:t xml:space="preserve">. The dataset includes data on approximately 60,000 pregnancies, and 58,000 live born infants born between 1959 and 1965. Data was collected throughout the prenatal period, </w:t>
      </w:r>
      <w:proofErr w:type="spellStart"/>
      <w:r w:rsidRPr="00B30500">
        <w:rPr>
          <w:rFonts w:cstheme="minorHAnsi"/>
          <w:lang w:val="en-US"/>
        </w:rPr>
        <w:t>labour</w:t>
      </w:r>
      <w:proofErr w:type="spellEnd"/>
      <w:r w:rsidRPr="00B30500">
        <w:rPr>
          <w:rFonts w:cstheme="minorHAnsi"/>
          <w:lang w:val="en-US"/>
        </w:rPr>
        <w:t xml:space="preserve">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4BE647C1"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00686879">
        <w:rPr>
          <w:rFonts w:cstheme="minorHAnsi"/>
        </w:rPr>
        <w:t xml:space="preserve">) </w:t>
      </w:r>
      <w:r w:rsidR="00686879">
        <w:rPr>
          <w:rFonts w:cstheme="minorHAnsi"/>
        </w:rPr>
        <w:fldChar w:fldCharType="begin" w:fldLock="1"/>
      </w:r>
      <w:r w:rsidR="002D6DBB">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[18]","plainTextFormattedCitation":"[18]","previouslyFormattedCitation":"[18]"},"properties":{"noteIndex":0},"schema":"https://github.com/citation-style-language/schema/raw/master/csl-citation.json"}</w:instrText>
      </w:r>
      <w:r w:rsidR="00686879">
        <w:rPr>
          <w:rFonts w:cstheme="minorHAnsi"/>
        </w:rPr>
        <w:fldChar w:fldCharType="separate"/>
      </w:r>
      <w:r w:rsidR="00686879" w:rsidRPr="00686879">
        <w:rPr>
          <w:rFonts w:cstheme="minorHAnsi"/>
          <w:noProof/>
        </w:rPr>
        <w:t>[18]</w:t>
      </w:r>
      <w:r w:rsidR="00686879">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59318BB9"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lastRenderedPageBreak/>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 xml:space="preserve">were prepared to compare model discrimination and derive the area under the curve measure with 95% confidence interval using the </w:t>
      </w:r>
      <w:proofErr w:type="spellStart"/>
      <w:r w:rsidRPr="00AB472B">
        <w:rPr>
          <w:rFonts w:cstheme="minorHAnsi"/>
        </w:rPr>
        <w:t>pROC</w:t>
      </w:r>
      <w:proofErr w:type="spellEnd"/>
      <w:r w:rsidRPr="00AB472B">
        <w:rPr>
          <w:rFonts w:cstheme="minorHAnsi"/>
        </w:rPr>
        <w:t xml:space="preserve">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201C184A"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164C38">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[14], [15]","plainTextFormattedCitation":"[14], [15]","previouslyFormattedCitation":"[14], [15]"},"properties":{"noteIndex":0},"schema":"https://github.com/citation-style-language/schema/raw/master/csl-citation.json"}</w:instrText>
      </w:r>
      <w:r w:rsidRPr="00AB472B">
        <w:rPr>
          <w:rFonts w:cstheme="minorHAnsi"/>
        </w:rPr>
        <w:fldChar w:fldCharType="separate"/>
      </w:r>
      <w:r w:rsidR="00164C38" w:rsidRPr="00164C38">
        <w:rPr>
          <w:rFonts w:cstheme="minorHAnsi"/>
          <w:noProof/>
        </w:rPr>
        <w:t>[14], [15]</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proofErr w:type="spellStart"/>
      <w:r w:rsidR="00DB6D55" w:rsidRPr="00AB472B">
        <w:rPr>
          <w:rFonts w:cstheme="minorHAnsi"/>
        </w:rPr>
        <w:t>fetal</w:t>
      </w:r>
      <w:proofErr w:type="spellEnd"/>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66196D23"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2D6DBB">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[19]","plainTextFormattedCitation":"[19]","previouslyFormattedCitation":"[19]"},"properties":{"noteIndex":0},"schema":"https://github.com/citation-style-language/schema/raw/master/csl-citation.json"}</w:instrText>
      </w:r>
      <w:r w:rsidR="00F14BFB" w:rsidRPr="00AB472B">
        <w:rPr>
          <w:rFonts w:cstheme="minorHAnsi"/>
        </w:rPr>
        <w:fldChar w:fldCharType="separate"/>
      </w:r>
      <w:r w:rsidR="00686879" w:rsidRPr="00686879">
        <w:rPr>
          <w:rFonts w:cstheme="minorHAnsi"/>
          <w:noProof/>
        </w:rPr>
        <w:t>[19]</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he effect 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lastRenderedPageBreak/>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w:t>
      </w:r>
      <w:proofErr w:type="spellStart"/>
      <w:r w:rsidRPr="00AB472B">
        <w:rPr>
          <w:rFonts w:cstheme="minorHAnsi"/>
        </w:rPr>
        <w:t>Tensorflow</w:t>
      </w:r>
      <w:proofErr w:type="spellEnd"/>
      <w:r w:rsidRPr="00AB472B">
        <w:rPr>
          <w:rFonts w:cstheme="minorHAnsi"/>
        </w:rPr>
        <w:t xml:space="preserve">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lastRenderedPageBreak/>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0B27F0FE"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2D6DBB">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[20]","plainTextFormattedCitation":"[20]","previouslyFormattedCitation":"[20]"},"properties":{"noteIndex":0},"schema":"https://github.com/citation-style-language/schema/raw/master/csl-citation.json"}</w:instrText>
      </w:r>
      <w:r w:rsidR="007A1864">
        <w:rPr>
          <w:rFonts w:cstheme="minorHAnsi"/>
          <w:bCs/>
          <w:sz w:val="24"/>
          <w:szCs w:val="24"/>
        </w:rPr>
        <w:fldChar w:fldCharType="separate"/>
      </w:r>
      <w:r w:rsidR="00686879" w:rsidRPr="00686879">
        <w:rPr>
          <w:rFonts w:cstheme="minorHAnsi"/>
          <w:bCs/>
          <w:noProof/>
          <w:sz w:val="24"/>
          <w:szCs w:val="24"/>
        </w:rPr>
        <w:t>[20]</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lastRenderedPageBreak/>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2D6DBB">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[21]","plainTextFormattedCitation":"[21]","previouslyFormattedCitation":"[21]"},"properties":{"noteIndex":0},"schema":"https://github.com/citation-style-language/schema/raw/master/csl-citation.json"}</w:instrText>
      </w:r>
      <w:r w:rsidR="00721695">
        <w:rPr>
          <w:rFonts w:cstheme="minorHAnsi"/>
          <w:bCs/>
          <w:sz w:val="24"/>
          <w:szCs w:val="24"/>
        </w:rPr>
        <w:fldChar w:fldCharType="separate"/>
      </w:r>
      <w:r w:rsidR="00686879" w:rsidRPr="00686879">
        <w:rPr>
          <w:rFonts w:cstheme="minorHAnsi"/>
          <w:bCs/>
          <w:noProof/>
          <w:sz w:val="24"/>
          <w:szCs w:val="24"/>
        </w:rPr>
        <w:t>[21]</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2D6DBB">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[22]","plainTextFormattedCitation":"[22]","previouslyFormattedCitation":"[22]"},"properties":{"noteIndex":0},"schema":"https://github.com/citation-style-language/schema/raw/master/csl-citation.json"}</w:instrText>
      </w:r>
      <w:r w:rsidR="004B0E8D">
        <w:rPr>
          <w:rFonts w:cstheme="minorHAnsi"/>
          <w:bCs/>
          <w:sz w:val="24"/>
          <w:szCs w:val="24"/>
        </w:rPr>
        <w:fldChar w:fldCharType="separate"/>
      </w:r>
      <w:r w:rsidR="00686879" w:rsidRPr="00686879">
        <w:rPr>
          <w:rFonts w:cstheme="minorHAnsi"/>
          <w:bCs/>
          <w:noProof/>
          <w:sz w:val="24"/>
          <w:szCs w:val="24"/>
        </w:rPr>
        <w:t>[22]</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2D6DBB">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[23]","plainTextFormattedCitation":"[23]","previouslyFormattedCitation":"[23]"},"properties":{"noteIndex":0},"schema":"https://github.com/citation-style-language/schema/raw/master/csl-citation.json"}</w:instrText>
      </w:r>
      <w:r w:rsidR="005D5998">
        <w:rPr>
          <w:rFonts w:cstheme="minorHAnsi"/>
          <w:bCs/>
          <w:sz w:val="24"/>
          <w:szCs w:val="24"/>
        </w:rPr>
        <w:fldChar w:fldCharType="separate"/>
      </w:r>
      <w:r w:rsidR="00686879" w:rsidRPr="00686879">
        <w:rPr>
          <w:rFonts w:cstheme="minorHAnsi"/>
          <w:bCs/>
          <w:noProof/>
          <w:sz w:val="24"/>
          <w:szCs w:val="24"/>
        </w:rPr>
        <w:t>[23]</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236F3401"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2D6DBB">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[24]","plainTextFormattedCitation":"[24]","previouslyFormattedCitation":"[24]"},"properties":{"noteIndex":0},"schema":"https://github.com/citation-style-language/schema/raw/master/csl-citation.json"}</w:instrText>
      </w:r>
      <w:r w:rsidR="00C77AA3">
        <w:rPr>
          <w:rFonts w:cstheme="minorHAnsi"/>
          <w:bCs/>
        </w:rPr>
        <w:fldChar w:fldCharType="separate"/>
      </w:r>
      <w:r w:rsidR="00686879" w:rsidRPr="00686879">
        <w:rPr>
          <w:rFonts w:cstheme="minorHAnsi"/>
          <w:bCs/>
          <w:noProof/>
        </w:rPr>
        <w:t>[24]</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w:t>
      </w:r>
      <w:r w:rsidRPr="00AB472B">
        <w:rPr>
          <w:rFonts w:cstheme="minorHAnsi"/>
        </w:rPr>
        <w:lastRenderedPageBreak/>
        <w:t xml:space="preserve">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1AFF45B4" w:rsidR="00200043" w:rsidRDefault="001D3065" w:rsidP="00172234">
      <w:pPr>
        <w:rPr>
          <w:rFonts w:cstheme="minorHAnsi"/>
          <w:b/>
          <w:bCs/>
          <w:lang w:val="en-US"/>
        </w:rPr>
      </w:pPr>
      <w:r w:rsidRPr="00AB472B">
        <w:rPr>
          <w:rFonts w:cstheme="minorHAnsi"/>
          <w:b/>
          <w:bCs/>
          <w:lang w:val="en-US"/>
        </w:rPr>
        <w:lastRenderedPageBreak/>
        <w:t>References</w:t>
      </w:r>
    </w:p>
    <w:p w14:paraId="4E21C38F" w14:textId="0058357F" w:rsidR="002D6DBB" w:rsidRDefault="002D6DBB" w:rsidP="00172234">
      <w:pPr>
        <w:rPr>
          <w:rFonts w:cstheme="minorHAnsi"/>
          <w:b/>
          <w:bCs/>
          <w:lang w:val="en-US"/>
        </w:rPr>
      </w:pPr>
    </w:p>
    <w:p w14:paraId="3B872D43" w14:textId="55D8237E" w:rsidR="002D6DBB" w:rsidRPr="002D6DBB" w:rsidRDefault="002D6DBB" w:rsidP="002D6DBB">
      <w:pPr>
        <w:widowControl w:val="0"/>
        <w:autoSpaceDE w:val="0"/>
        <w:autoSpaceDN w:val="0"/>
        <w:adjustRightInd w:val="0"/>
        <w:ind w:left="640" w:hanging="640"/>
        <w:rPr>
          <w:rFonts w:ascii="Calibri" w:hAnsi="Calibri" w:cs="Calibri"/>
          <w:noProof/>
        </w:rPr>
      </w:pPr>
      <w:r>
        <w:rPr>
          <w:rFonts w:cstheme="minorHAnsi"/>
          <w:b/>
          <w:bCs/>
          <w:lang w:val="en-US"/>
        </w:rPr>
        <w:fldChar w:fldCharType="begin" w:fldLock="1"/>
      </w:r>
      <w:r>
        <w:rPr>
          <w:rFonts w:cstheme="minorHAnsi"/>
          <w:b/>
          <w:bCs/>
          <w:lang w:val="en-US"/>
        </w:rPr>
        <w:instrText xml:space="preserve">ADDIN Mendeley Bibliography CSL_BIBLIOGRAPHY </w:instrText>
      </w:r>
      <w:r>
        <w:rPr>
          <w:rFonts w:cstheme="minorHAnsi"/>
          <w:b/>
          <w:bCs/>
          <w:lang w:val="en-US"/>
        </w:rPr>
        <w:fldChar w:fldCharType="separate"/>
      </w:r>
      <w:r w:rsidRPr="002D6DBB">
        <w:rPr>
          <w:rFonts w:ascii="Calibri" w:hAnsi="Calibri" w:cs="Calibri"/>
          <w:noProof/>
        </w:rPr>
        <w:t>[1]</w:t>
      </w:r>
      <w:r w:rsidRPr="002D6DBB">
        <w:rPr>
          <w:rFonts w:ascii="Calibri" w:hAnsi="Calibri" w:cs="Calibri"/>
          <w:noProof/>
        </w:rPr>
        <w:tab/>
        <w:t xml:space="preserve">E. W. Steyerberg </w:t>
      </w:r>
      <w:r w:rsidRPr="002D6DBB">
        <w:rPr>
          <w:rFonts w:ascii="Calibri" w:hAnsi="Calibri" w:cs="Calibri"/>
          <w:i/>
          <w:iCs/>
          <w:noProof/>
        </w:rPr>
        <w:t>et al.</w:t>
      </w:r>
      <w:r w:rsidRPr="002D6DBB">
        <w:rPr>
          <w:rFonts w:ascii="Calibri" w:hAnsi="Calibri" w:cs="Calibri"/>
          <w:noProof/>
        </w:rPr>
        <w:t xml:space="preserve">, “Prognosis Research Strategy (PROGRESS) 3: Prognostic Model Research,” </w:t>
      </w:r>
      <w:r w:rsidRPr="002D6DBB">
        <w:rPr>
          <w:rFonts w:ascii="Calibri" w:hAnsi="Calibri" w:cs="Calibri"/>
          <w:i/>
          <w:iCs/>
          <w:noProof/>
        </w:rPr>
        <w:t>PLoS Med.</w:t>
      </w:r>
      <w:r w:rsidRPr="002D6DBB">
        <w:rPr>
          <w:rFonts w:ascii="Calibri" w:hAnsi="Calibri" w:cs="Calibri"/>
          <w:noProof/>
        </w:rPr>
        <w:t>, vol. 10, no. 2, p. e1001381, Feb. 2013, doi: 10.1371/journal.pmed.1001381.</w:t>
      </w:r>
    </w:p>
    <w:p w14:paraId="4BE03D0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w:t>
      </w:r>
      <w:r w:rsidRPr="002D6DBB">
        <w:rPr>
          <w:rFonts w:ascii="Calibri" w:hAnsi="Calibri" w:cs="Calibri"/>
          <w:noProof/>
        </w:rPr>
        <w:tab/>
        <w:t xml:space="preserve">M. Z. I. Chowdhury and T. C. Turin, “Variable selection strategies and its importance in clinical prediction modelling,” </w:t>
      </w:r>
      <w:r w:rsidRPr="002D6DBB">
        <w:rPr>
          <w:rFonts w:ascii="Calibri" w:hAnsi="Calibri" w:cs="Calibri"/>
          <w:i/>
          <w:iCs/>
          <w:noProof/>
        </w:rPr>
        <w:t>Fam. Med. Community Heal.</w:t>
      </w:r>
      <w:r w:rsidRPr="002D6DBB">
        <w:rPr>
          <w:rFonts w:ascii="Calibri" w:hAnsi="Calibri" w:cs="Calibri"/>
          <w:noProof/>
        </w:rPr>
        <w:t>, vol. 8, no. 1, p. 262, Feb. 2020, doi: 10.1136/fmch-2019-000262.</w:t>
      </w:r>
    </w:p>
    <w:p w14:paraId="74921FA3"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[3]</w:t>
      </w:r>
      <w:r w:rsidRPr="002D6DBB">
        <w:rPr>
          <w:rFonts w:ascii="Calibri" w:hAnsi="Calibri" w:cs="Calibri"/>
          <w:noProof/>
        </w:rPr>
        <w:tab/>
        <w:t xml:space="preserve">D. V. Azzopardi </w:t>
      </w:r>
      <w:r w:rsidRPr="002D6DBB">
        <w:rPr>
          <w:rFonts w:ascii="Calibri" w:hAnsi="Calibri" w:cs="Calibri"/>
          <w:i/>
          <w:iCs/>
          <w:noProof/>
        </w:rPr>
        <w:t>et al.</w:t>
      </w:r>
      <w:r w:rsidRPr="002D6DBB">
        <w:rPr>
          <w:rFonts w:ascii="Calibri" w:hAnsi="Calibri" w:cs="Calibri"/>
          <w:noProof/>
        </w:rPr>
        <w:t xml:space="preserve">, “Moderate Hypothermia to Treat Perinatal Asphyxial Encephalopathy,” </w:t>
      </w:r>
      <w:r w:rsidRPr="002D6DBB">
        <w:rPr>
          <w:rFonts w:ascii="Calibri" w:hAnsi="Calibri" w:cs="Calibri"/>
          <w:i/>
          <w:iCs/>
          <w:noProof/>
        </w:rPr>
        <w:t>N. Engl. J. Med.</w:t>
      </w:r>
      <w:r w:rsidRPr="002D6DBB">
        <w:rPr>
          <w:rFonts w:ascii="Calibri" w:hAnsi="Calibri" w:cs="Calibri"/>
          <w:noProof/>
        </w:rPr>
        <w:t>, vol. 361, no. 14, pp. 1349–1358, Oct. 2009, doi: 10.1056/nejmoa0900854.</w:t>
      </w:r>
    </w:p>
    <w:p w14:paraId="24D4B836"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[4]</w:t>
      </w:r>
      <w:r w:rsidRPr="002D6DBB">
        <w:rPr>
          <w:rFonts w:ascii="Calibri" w:hAnsi="Calibri" w:cs="Calibri"/>
          <w:noProof/>
        </w:rPr>
        <w:tab/>
        <w:t xml:space="preserve">D. E. Odd, D. Gunnell, G. Lewis, and F. Rasmussen, “Long-term impact of poor birth condition on social and economic outcomes in early adulthood,” </w:t>
      </w:r>
      <w:r w:rsidRPr="002D6DBB">
        <w:rPr>
          <w:rFonts w:ascii="Calibri" w:hAnsi="Calibri" w:cs="Calibri"/>
          <w:i/>
          <w:iCs/>
          <w:noProof/>
        </w:rPr>
        <w:t>Pediatrics</w:t>
      </w:r>
      <w:r w:rsidRPr="002D6DBB">
        <w:rPr>
          <w:rFonts w:ascii="Calibri" w:hAnsi="Calibri" w:cs="Calibri"/>
          <w:noProof/>
        </w:rPr>
        <w:t>, vol. 127, no. 6, Jun. 2011, doi: 10.1542/peds.2010-3604.</w:t>
      </w:r>
    </w:p>
    <w:p w14:paraId="0FABBD2C"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[5]</w:t>
      </w:r>
      <w:r w:rsidRPr="002D6DBB">
        <w:rPr>
          <w:rFonts w:ascii="Calibri" w:hAnsi="Calibri" w:cs="Calibri"/>
          <w:noProof/>
        </w:rPr>
        <w:tab/>
        <w:t>“Ten Years of Maternity Claims: An analysis of NHS Litigation Authority data - NHS Resolution.” https://resolution.nhs.uk/resources/ten-years-of-maternity-claims-an-analysis-of-nhs-litigation-authority-data/ (accessed Mar. 17, 2021).</w:t>
      </w:r>
    </w:p>
    <w:p w14:paraId="4A84F463"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[6]</w:t>
      </w:r>
      <w:r w:rsidRPr="002D6DBB">
        <w:rPr>
          <w:rFonts w:ascii="Calibri" w:hAnsi="Calibri" w:cs="Calibri"/>
          <w:noProof/>
        </w:rPr>
        <w:tab/>
        <w:t xml:space="preserve">C. J. L. Murray </w:t>
      </w:r>
      <w:r w:rsidRPr="002D6DBB">
        <w:rPr>
          <w:rFonts w:ascii="Calibri" w:hAnsi="Calibri" w:cs="Calibri"/>
          <w:i/>
          <w:iCs/>
          <w:noProof/>
        </w:rPr>
        <w:t>et al.</w:t>
      </w:r>
      <w:r w:rsidRPr="002D6DBB">
        <w:rPr>
          <w:rFonts w:ascii="Calibri" w:hAnsi="Calibri" w:cs="Calibri"/>
          <w:noProof/>
        </w:rPr>
        <w:t xml:space="preserve">, “Disability-adjusted life years (DALYs) for 291 diseases and injuries in 21 regions, 1990-2010: A systematic analysis for the Global Burden of Disease Study 2010,” </w:t>
      </w:r>
      <w:r w:rsidRPr="002D6DBB">
        <w:rPr>
          <w:rFonts w:ascii="Calibri" w:hAnsi="Calibri" w:cs="Calibri"/>
          <w:i/>
          <w:iCs/>
          <w:noProof/>
        </w:rPr>
        <w:t>Lancet</w:t>
      </w:r>
      <w:r w:rsidRPr="002D6DBB">
        <w:rPr>
          <w:rFonts w:ascii="Calibri" w:hAnsi="Calibri" w:cs="Calibri"/>
          <w:noProof/>
        </w:rPr>
        <w:t>, vol. 380, no. 9859, pp. 2197–2223, Dec. 2012, doi: 10.1016/S0140-6736(12)61689-4.</w:t>
      </w:r>
    </w:p>
    <w:p w14:paraId="69A044AB"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[7]</w:t>
      </w:r>
      <w:r w:rsidRPr="002D6DBB">
        <w:rPr>
          <w:rFonts w:ascii="Calibri" w:hAnsi="Calibri" w:cs="Calibri"/>
          <w:noProof/>
        </w:rPr>
        <w:tab/>
        <w:t xml:space="preserve">D. Odd, G. Lewis, A. Whitelaw, and D. J. Gunnell, “Resuscitation at birth and cognition at 8 years of age: a cohort study,” </w:t>
      </w:r>
      <w:r w:rsidRPr="002D6DBB">
        <w:rPr>
          <w:rFonts w:ascii="Calibri" w:hAnsi="Calibri" w:cs="Calibri"/>
          <w:i/>
          <w:iCs/>
          <w:noProof/>
        </w:rPr>
        <w:t>Lancet</w:t>
      </w:r>
      <w:r w:rsidRPr="002D6DBB">
        <w:rPr>
          <w:rFonts w:ascii="Calibri" w:hAnsi="Calibri" w:cs="Calibri"/>
          <w:noProof/>
        </w:rPr>
        <w:t>, vol. 9, no. 373, pp. 1615–1622, 2009.</w:t>
      </w:r>
    </w:p>
    <w:p w14:paraId="447731A2"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[8]</w:t>
      </w:r>
      <w:r w:rsidRPr="002D6DBB">
        <w:rPr>
          <w:rFonts w:ascii="Calibri" w:hAnsi="Calibri" w:cs="Calibri"/>
          <w:noProof/>
        </w:rPr>
        <w:tab/>
        <w:t xml:space="preserve">D. E. Odd, A. Whitelaw, D. Gunnell, and G. Lewis, “The association between birth condition and neuropsychological functioning and educational attainment at school age: A cohort study,” </w:t>
      </w:r>
      <w:r w:rsidRPr="002D6DBB">
        <w:rPr>
          <w:rFonts w:ascii="Calibri" w:hAnsi="Calibri" w:cs="Calibri"/>
          <w:i/>
          <w:iCs/>
          <w:noProof/>
        </w:rPr>
        <w:t>Arch. Dis. Child.</w:t>
      </w:r>
      <w:r w:rsidRPr="002D6DBB">
        <w:rPr>
          <w:rFonts w:ascii="Calibri" w:hAnsi="Calibri" w:cs="Calibri"/>
          <w:noProof/>
        </w:rPr>
        <w:t>, vol. 96, no. 1, pp. 30–37, Jan. 2011, doi: 10.1136/adc.2009.176065.</w:t>
      </w:r>
    </w:p>
    <w:p w14:paraId="2BB7E1B4"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[9]</w:t>
      </w:r>
      <w:r w:rsidRPr="002D6DBB">
        <w:rPr>
          <w:rFonts w:ascii="Calibri" w:hAnsi="Calibri" w:cs="Calibri"/>
          <w:noProof/>
        </w:rPr>
        <w:tab/>
        <w:t xml:space="preserve">D. E. Odd, F. Rasmussen, D. Gunnell, G. Lewis, and A. Whitelaw, “A cohort study of low Apgar scores and cognitive outcomes,” </w:t>
      </w:r>
      <w:r w:rsidRPr="002D6DBB">
        <w:rPr>
          <w:rFonts w:ascii="Calibri" w:hAnsi="Calibri" w:cs="Calibri"/>
          <w:i/>
          <w:iCs/>
          <w:noProof/>
        </w:rPr>
        <w:t>Arch. Dis. Child. Fetal Neonatal Ed.</w:t>
      </w:r>
      <w:r w:rsidRPr="002D6DBB">
        <w:rPr>
          <w:rFonts w:ascii="Calibri" w:hAnsi="Calibri" w:cs="Calibri"/>
          <w:noProof/>
        </w:rPr>
        <w:t>, vol. 93, no. 2, Mar. 2008, doi: 10.1136/adc.2007.123745.</w:t>
      </w:r>
    </w:p>
    <w:p w14:paraId="485A85AA"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[10]</w:t>
      </w:r>
      <w:r w:rsidRPr="002D6DBB">
        <w:rPr>
          <w:rFonts w:ascii="Calibri" w:hAnsi="Calibri" w:cs="Calibri"/>
          <w:noProof/>
        </w:rPr>
        <w:tab/>
        <w:t xml:space="preserve">R. Goeree, M. Hannah, and S. Hewson, “Cost-effectiveness of induction of labour versus serial antenatal monitoring in the Canadian multicentre postterm pregnancy trial,” </w:t>
      </w:r>
      <w:r w:rsidRPr="002D6DBB">
        <w:rPr>
          <w:rFonts w:ascii="Calibri" w:hAnsi="Calibri" w:cs="Calibri"/>
          <w:i/>
          <w:iCs/>
          <w:noProof/>
        </w:rPr>
        <w:t>CMAJ</w:t>
      </w:r>
      <w:r w:rsidRPr="002D6DBB">
        <w:rPr>
          <w:rFonts w:ascii="Calibri" w:hAnsi="Calibri" w:cs="Calibri"/>
          <w:noProof/>
        </w:rPr>
        <w:t>, vol. 152, no. 9, pp. 1445–1450, 1995, Accessed: Mar. 17, 2021. [Online]. Available: /pmc/articles/PMC1337908/?report=abstract.</w:t>
      </w:r>
    </w:p>
    <w:p w14:paraId="53C6AB5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[11]</w:t>
      </w:r>
      <w:r w:rsidRPr="002D6DBB">
        <w:rPr>
          <w:rFonts w:ascii="Calibri" w:hAnsi="Calibri" w:cs="Calibri"/>
          <w:noProof/>
        </w:rPr>
        <w:tab/>
        <w:t xml:space="preserve">G. Molina </w:t>
      </w:r>
      <w:r w:rsidRPr="002D6DBB">
        <w:rPr>
          <w:rFonts w:ascii="Calibri" w:hAnsi="Calibri" w:cs="Calibri"/>
          <w:i/>
          <w:iCs/>
          <w:noProof/>
        </w:rPr>
        <w:t>et al.</w:t>
      </w:r>
      <w:r w:rsidRPr="002D6DBB">
        <w:rPr>
          <w:rFonts w:ascii="Calibri" w:hAnsi="Calibri" w:cs="Calibri"/>
          <w:noProof/>
        </w:rPr>
        <w:t xml:space="preserve">, “Relationship between cesarean delivery rate and maternal and neonatal mortality,” </w:t>
      </w:r>
      <w:r w:rsidRPr="002D6DBB">
        <w:rPr>
          <w:rFonts w:ascii="Calibri" w:hAnsi="Calibri" w:cs="Calibri"/>
          <w:i/>
          <w:iCs/>
          <w:noProof/>
        </w:rPr>
        <w:t>JAMA - J. Am. Med. Assoc.</w:t>
      </w:r>
      <w:r w:rsidRPr="002D6DBB">
        <w:rPr>
          <w:rFonts w:ascii="Calibri" w:hAnsi="Calibri" w:cs="Calibri"/>
          <w:noProof/>
        </w:rPr>
        <w:t>, vol. 314, no. 21, pp. 2263–2270, Dec. 2015, doi: 10.1001/jama.2015.15553.</w:t>
      </w:r>
    </w:p>
    <w:p w14:paraId="07A8079E"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[12]</w:t>
      </w:r>
      <w:r w:rsidRPr="002D6DBB">
        <w:rPr>
          <w:rFonts w:ascii="Calibri" w:hAnsi="Calibri" w:cs="Calibri"/>
          <w:noProof/>
        </w:rPr>
        <w:tab/>
        <w:t xml:space="preserve">A. M. Gülmezoglu, C. A. Crowther, P. Middleton, and E. Heatley, “Induction of labour for improving birth outcomes for women at or beyond term,” </w:t>
      </w:r>
      <w:r w:rsidRPr="002D6DBB">
        <w:rPr>
          <w:rFonts w:ascii="Calibri" w:hAnsi="Calibri" w:cs="Calibri"/>
          <w:i/>
          <w:iCs/>
          <w:noProof/>
        </w:rPr>
        <w:t>Cochrane Database Syst. Rev.</w:t>
      </w:r>
      <w:r w:rsidRPr="002D6DBB">
        <w:rPr>
          <w:rFonts w:ascii="Calibri" w:hAnsi="Calibri" w:cs="Calibri"/>
          <w:noProof/>
        </w:rPr>
        <w:t>, vol. 6, no. 6, Jun. 2012, doi: 10.1002/14651858.cd004945.pub3.</w:t>
      </w:r>
    </w:p>
    <w:p w14:paraId="5438F829"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[13]</w:t>
      </w:r>
      <w:r w:rsidRPr="002D6DBB">
        <w:rPr>
          <w:rFonts w:ascii="Calibri" w:hAnsi="Calibri" w:cs="Calibri"/>
          <w:noProof/>
        </w:rPr>
        <w:tab/>
        <w:t>“Inducing labour Clinical guideline,” 2008. Accessed: Mar. 17, 2021. [Online]. Available: www.nice.org.uk/guidance/cg70.</w:t>
      </w:r>
    </w:p>
    <w:p w14:paraId="28952CD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[14]</w:t>
      </w:r>
      <w:r w:rsidRPr="002D6DBB">
        <w:rPr>
          <w:rFonts w:ascii="Calibri" w:hAnsi="Calibri" w:cs="Calibri"/>
          <w:noProof/>
        </w:rPr>
        <w:tab/>
        <w:t xml:space="preserve">N. Badawi </w:t>
      </w:r>
      <w:r w:rsidRPr="002D6DBB">
        <w:rPr>
          <w:rFonts w:ascii="Calibri" w:hAnsi="Calibri" w:cs="Calibri"/>
          <w:i/>
          <w:iCs/>
          <w:noProof/>
        </w:rPr>
        <w:t>et al.</w:t>
      </w:r>
      <w:r w:rsidRPr="002D6DBB">
        <w:rPr>
          <w:rFonts w:ascii="Calibri" w:hAnsi="Calibri" w:cs="Calibri"/>
          <w:noProof/>
        </w:rPr>
        <w:t xml:space="preserve">, “Intrapartum risk factors for newborn encephalopathy: the Western Australian case-control study,” </w:t>
      </w:r>
      <w:r w:rsidRPr="002D6DBB">
        <w:rPr>
          <w:rFonts w:ascii="Calibri" w:hAnsi="Calibri" w:cs="Calibri"/>
          <w:i/>
          <w:iCs/>
          <w:noProof/>
        </w:rPr>
        <w:t>Bmj</w:t>
      </w:r>
      <w:r w:rsidRPr="002D6DBB">
        <w:rPr>
          <w:rFonts w:ascii="Calibri" w:hAnsi="Calibri" w:cs="Calibri"/>
          <w:noProof/>
        </w:rPr>
        <w:t>, vol. 317, no. 7172, pp. 1554–1558, 1998.</w:t>
      </w:r>
    </w:p>
    <w:p w14:paraId="7DE5F5D0"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[15]</w:t>
      </w:r>
      <w:r w:rsidRPr="002D6DBB">
        <w:rPr>
          <w:rFonts w:ascii="Calibri" w:hAnsi="Calibri" w:cs="Calibri"/>
          <w:noProof/>
        </w:rPr>
        <w:tab/>
        <w:t xml:space="preserve">N. Badawi </w:t>
      </w:r>
      <w:r w:rsidRPr="002D6DBB">
        <w:rPr>
          <w:rFonts w:ascii="Calibri" w:hAnsi="Calibri" w:cs="Calibri"/>
          <w:i/>
          <w:iCs/>
          <w:noProof/>
        </w:rPr>
        <w:t>et al.</w:t>
      </w:r>
      <w:r w:rsidRPr="002D6DBB">
        <w:rPr>
          <w:rFonts w:ascii="Calibri" w:hAnsi="Calibri" w:cs="Calibri"/>
          <w:noProof/>
        </w:rPr>
        <w:t xml:space="preserve">, “Antepartum risk factors for newborn encephalopathy: the Western Australian case-control study,” </w:t>
      </w:r>
      <w:r w:rsidRPr="002D6DBB">
        <w:rPr>
          <w:rFonts w:ascii="Calibri" w:hAnsi="Calibri" w:cs="Calibri"/>
          <w:i/>
          <w:iCs/>
          <w:noProof/>
        </w:rPr>
        <w:t>Bmj</w:t>
      </w:r>
      <w:r w:rsidRPr="002D6DBB">
        <w:rPr>
          <w:rFonts w:ascii="Calibri" w:hAnsi="Calibri" w:cs="Calibri"/>
          <w:noProof/>
        </w:rPr>
        <w:t>, vol. 317, no. 7172, pp. 1549–1553, 1998.</w:t>
      </w:r>
    </w:p>
    <w:p w14:paraId="7A14383A"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[16]</w:t>
      </w:r>
      <w:r w:rsidRPr="002D6DBB">
        <w:rPr>
          <w:rFonts w:ascii="Calibri" w:hAnsi="Calibri" w:cs="Calibri"/>
          <w:noProof/>
        </w:rPr>
        <w:tab/>
        <w:t xml:space="preserve">R. E. Cooke, “The Johns Hopkins Collaborative Perinatal Project. A symposium. </w:t>
      </w:r>
      <w:r w:rsidRPr="002D6DBB">
        <w:rPr>
          <w:rFonts w:ascii="Calibri" w:hAnsi="Calibri" w:cs="Calibri"/>
          <w:noProof/>
        </w:rPr>
        <w:lastRenderedPageBreak/>
        <w:t xml:space="preserve">Introduction.,” </w:t>
      </w:r>
      <w:r w:rsidRPr="002D6DBB">
        <w:rPr>
          <w:rFonts w:ascii="Calibri" w:hAnsi="Calibri" w:cs="Calibri"/>
          <w:i/>
          <w:iCs/>
          <w:noProof/>
        </w:rPr>
        <w:t>Johns Hopkins Med. J.</w:t>
      </w:r>
      <w:r w:rsidRPr="002D6DBB">
        <w:rPr>
          <w:rFonts w:ascii="Calibri" w:hAnsi="Calibri" w:cs="Calibri"/>
          <w:noProof/>
        </w:rPr>
        <w:t>, vol. 128, no. 5, p. 237, May 1971.</w:t>
      </w:r>
    </w:p>
    <w:p w14:paraId="74BDF916"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[17]</w:t>
      </w:r>
      <w:r w:rsidRPr="002D6DBB">
        <w:rPr>
          <w:rFonts w:ascii="Calibri" w:hAnsi="Calibri" w:cs="Calibri"/>
          <w:noProof/>
        </w:rPr>
        <w:tab/>
        <w:t>“The Women and Their Pregnancies: The Collaborative Perinatal Study of the ... - Kenneth R. Niswander, Myron Gordon - Google Books.” https://books.google.co.uk/books?id=dttsAAAAMAAJ&amp;printsec=frontcover&amp;source=gbs_ge_summary_r&amp;cad=0#v=onepage&amp;q&amp;f=false (accessed Mar. 17, 2021).</w:t>
      </w:r>
    </w:p>
    <w:p w14:paraId="3709B01D"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[18]</w:t>
      </w:r>
      <w:r w:rsidRPr="002D6DBB">
        <w:rPr>
          <w:rFonts w:ascii="Calibri" w:hAnsi="Calibri" w:cs="Calibri"/>
          <w:noProof/>
        </w:rPr>
        <w:tab/>
        <w:t xml:space="preserve">D. E. Odd, G. Lewis, A. Whitelaw, and D. Gunnell, “Resuscitation at birth and cognition at 8 years of age: a cohort study,” </w:t>
      </w:r>
      <w:r w:rsidRPr="002D6DBB">
        <w:rPr>
          <w:rFonts w:ascii="Calibri" w:hAnsi="Calibri" w:cs="Calibri"/>
          <w:i/>
          <w:iCs/>
          <w:noProof/>
        </w:rPr>
        <w:t>Lancet</w:t>
      </w:r>
      <w:r w:rsidRPr="002D6DBB">
        <w:rPr>
          <w:rFonts w:ascii="Calibri" w:hAnsi="Calibri" w:cs="Calibri"/>
          <w:noProof/>
        </w:rPr>
        <w:t>, vol. 373, no. 9675, pp. 1615–1622, 2009, doi: 10.1016/S0140-6736(09)60244-0.</w:t>
      </w:r>
    </w:p>
    <w:p w14:paraId="09B60A67"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[19]</w:t>
      </w:r>
      <w:r w:rsidRPr="002D6DBB">
        <w:rPr>
          <w:rFonts w:ascii="Calibri" w:hAnsi="Calibri" w:cs="Calibri"/>
          <w:noProof/>
        </w:rPr>
        <w:tab/>
        <w:t>“scikit-learn: machine learning in Python — scikit-learn 0.21.3 documentation.” https://scikit-learn.org/stable/index.html (accessed Sep. 10, 2019).</w:t>
      </w:r>
    </w:p>
    <w:p w14:paraId="27B9B7EF"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[20]</w:t>
      </w:r>
      <w:r w:rsidRPr="002D6DBB">
        <w:rPr>
          <w:rFonts w:ascii="Calibri" w:hAnsi="Calibri" w:cs="Calibri"/>
          <w:noProof/>
        </w:rPr>
        <w:tab/>
        <w:t>A. M. Alaa and M. Van Der Schaar, “AutoPrognosis: Automated Clinical Prognostic Modeling via Bayesian Optimization with Structured Kernel Learning,” 2018.</w:t>
      </w:r>
    </w:p>
    <w:p w14:paraId="1AD20D3D"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[21]</w:t>
      </w:r>
      <w:r w:rsidRPr="002D6DBB">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2D6DBB">
        <w:rPr>
          <w:rFonts w:ascii="Calibri" w:hAnsi="Calibri" w:cs="Calibri"/>
          <w:i/>
          <w:iCs/>
          <w:noProof/>
        </w:rPr>
        <w:t>PLoS One</w:t>
      </w:r>
      <w:r w:rsidRPr="002D6DBB">
        <w:rPr>
          <w:rFonts w:ascii="Calibri" w:hAnsi="Calibri" w:cs="Calibri"/>
          <w:noProof/>
        </w:rPr>
        <w:t>, vol. 14, no. 5, p. e0213653, May 2019, doi: 10.1371/journal.pone.0213653.</w:t>
      </w:r>
    </w:p>
    <w:p w14:paraId="0752A698"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[22]</w:t>
      </w:r>
      <w:r w:rsidRPr="002D6DBB">
        <w:rPr>
          <w:rFonts w:ascii="Calibri" w:hAnsi="Calibri" w:cs="Calibri"/>
          <w:noProof/>
        </w:rPr>
        <w:tab/>
        <w:t xml:space="preserve">A. M. Alaa and M. van der Schaar, “Prognostication and Risk Factors for Cystic Fibrosis via Automated Machine Learning,” </w:t>
      </w:r>
      <w:r w:rsidRPr="002D6DBB">
        <w:rPr>
          <w:rFonts w:ascii="Calibri" w:hAnsi="Calibri" w:cs="Calibri"/>
          <w:i/>
          <w:iCs/>
          <w:noProof/>
        </w:rPr>
        <w:t>Sci. Rep.</w:t>
      </w:r>
      <w:r w:rsidRPr="002D6DBB">
        <w:rPr>
          <w:rFonts w:ascii="Calibri" w:hAnsi="Calibri" w:cs="Calibri"/>
          <w:noProof/>
        </w:rPr>
        <w:t>, vol. 8, no. 1, p. 11242, Dec. 2018, doi: 10.1038/s41598-018-29523-2.</w:t>
      </w:r>
    </w:p>
    <w:p w14:paraId="08CDC8FF"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[23]</w:t>
      </w:r>
      <w:r w:rsidRPr="002D6DBB">
        <w:rPr>
          <w:rFonts w:ascii="Calibri" w:hAnsi="Calibri" w:cs="Calibri"/>
          <w:noProof/>
        </w:rPr>
        <w:tab/>
        <w:t xml:space="preserve">N. McBride </w:t>
      </w:r>
      <w:r w:rsidRPr="002D6DBB">
        <w:rPr>
          <w:rFonts w:ascii="Calibri" w:hAnsi="Calibri" w:cs="Calibri"/>
          <w:i/>
          <w:iCs/>
          <w:noProof/>
        </w:rPr>
        <w:t>et al.</w:t>
      </w:r>
      <w:r w:rsidRPr="002D6DBB">
        <w:rPr>
          <w:rFonts w:ascii="Calibri" w:hAnsi="Calibri" w:cs="Calibri"/>
          <w:noProof/>
        </w:rPr>
        <w:t xml:space="preserve">, “Do nuclear magnetic resonance (NMR)-based metabolomics improve the prediction of pregnancy-related disorders? Findings from a UK birth cohort with independent validation,” </w:t>
      </w:r>
      <w:r w:rsidRPr="002D6DBB">
        <w:rPr>
          <w:rFonts w:ascii="Calibri" w:hAnsi="Calibri" w:cs="Calibri"/>
          <w:i/>
          <w:iCs/>
          <w:noProof/>
        </w:rPr>
        <w:t>BMC Med.</w:t>
      </w:r>
      <w:r w:rsidRPr="002D6DBB">
        <w:rPr>
          <w:rFonts w:ascii="Calibri" w:hAnsi="Calibri" w:cs="Calibri"/>
          <w:noProof/>
        </w:rPr>
        <w:t>, vol. 18, no. 1, p. 366, Dec. 2020, doi: 10.1186/s12916-020-01819-z.</w:t>
      </w:r>
    </w:p>
    <w:p w14:paraId="59A4A5D1" w14:textId="77777777" w:rsidR="002D6DBB" w:rsidRPr="002D6DBB" w:rsidRDefault="002D6DBB" w:rsidP="002D6DBB">
      <w:pPr>
        <w:widowControl w:val="0"/>
        <w:autoSpaceDE w:val="0"/>
        <w:autoSpaceDN w:val="0"/>
        <w:adjustRightInd w:val="0"/>
        <w:ind w:left="640" w:hanging="640"/>
        <w:rPr>
          <w:rFonts w:ascii="Calibri" w:hAnsi="Calibri" w:cs="Calibri"/>
          <w:noProof/>
        </w:rPr>
      </w:pPr>
      <w:r w:rsidRPr="002D6DBB">
        <w:rPr>
          <w:rFonts w:ascii="Calibri" w:hAnsi="Calibri" w:cs="Calibri"/>
          <w:noProof/>
        </w:rPr>
        <w:t>[24]</w:t>
      </w:r>
      <w:r w:rsidRPr="002D6DBB">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2D6DBB">
        <w:rPr>
          <w:rFonts w:ascii="Calibri" w:hAnsi="Calibri" w:cs="Calibri"/>
          <w:i/>
          <w:iCs/>
          <w:noProof/>
        </w:rPr>
        <w:t>Journal of Clinical Epidemiology</w:t>
      </w:r>
      <w:r w:rsidRPr="002D6DBB">
        <w:rPr>
          <w:rFonts w:ascii="Calibri" w:hAnsi="Calibri" w:cs="Calibri"/>
          <w:noProof/>
        </w:rPr>
        <w:t>, vol. 110. Elsevier USA, pp. 12–22, Jun. 01, 2019, doi: 10.1016/j.jclinepi.2019.02.004.</w:t>
      </w:r>
    </w:p>
    <w:p w14:paraId="3D9BB441" w14:textId="5FD6856B" w:rsidR="00200043" w:rsidRDefault="002D6DBB" w:rsidP="00172234">
      <w:pPr>
        <w:rPr>
          <w:rFonts w:cstheme="minorHAnsi"/>
          <w:b/>
          <w:bCs/>
          <w:lang w:val="en-US"/>
        </w:rPr>
      </w:pPr>
      <w:r>
        <w:rPr>
          <w:rFonts w:cstheme="minorHAnsi"/>
          <w:b/>
          <w:bCs/>
          <w:lang w:val="en-US"/>
        </w:rPr>
        <w:fldChar w:fldCharType="end"/>
      </w:r>
    </w:p>
    <w:p w14:paraId="43C9423F" w14:textId="77777777" w:rsidR="002D6DBB" w:rsidRPr="00AB472B" w:rsidRDefault="002D6DBB"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4"/>
            <w:r w:rsidRPr="00AB472B">
              <w:rPr>
                <w:rFonts w:cstheme="minorHAnsi"/>
                <w:sz w:val="24"/>
                <w:szCs w:val="24"/>
              </w:rPr>
              <w:t>Ix</w:t>
            </w:r>
            <w:commentRangeEnd w:id="4"/>
            <w:r w:rsidR="00C2732C" w:rsidRPr="00AB472B">
              <w:rPr>
                <w:rStyle w:val="CommentReference"/>
                <w:rFonts w:cstheme="minorHAnsi"/>
                <w:sz w:val="24"/>
                <w:szCs w:val="24"/>
              </w:rPr>
              <w:commentReference w:id="4"/>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5"/>
            <w:r w:rsidRPr="00AB472B">
              <w:rPr>
                <w:rFonts w:cstheme="minorHAnsi"/>
                <w:sz w:val="24"/>
                <w:szCs w:val="24"/>
              </w:rPr>
              <w:t xml:space="preserve">A/N </w:t>
            </w:r>
            <w:commentRangeEnd w:id="5"/>
            <w:r w:rsidR="009307B5" w:rsidRPr="00AB472B">
              <w:rPr>
                <w:rStyle w:val="CommentReference"/>
                <w:rFonts w:cstheme="minorHAnsi"/>
                <w:sz w:val="24"/>
                <w:szCs w:val="24"/>
              </w:rPr>
              <w:commentReference w:id="5"/>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6"/>
            <w:r w:rsidRPr="00AB472B">
              <w:rPr>
                <w:rFonts w:cstheme="minorHAnsi"/>
                <w:sz w:val="24"/>
                <w:szCs w:val="24"/>
              </w:rPr>
              <w:lastRenderedPageBreak/>
              <w:t>MIE</w:t>
            </w:r>
            <w:commentRangeEnd w:id="6"/>
            <w:r w:rsidR="00431A46" w:rsidRPr="00AB472B">
              <w:rPr>
                <w:rStyle w:val="CommentReference"/>
                <w:rFonts w:cstheme="minorHAnsi"/>
                <w:sz w:val="24"/>
                <w:szCs w:val="24"/>
              </w:rPr>
              <w:commentReference w:id="6"/>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7"/>
      <w:r w:rsidRPr="00AB472B">
        <w:rPr>
          <w:rFonts w:cstheme="minorHAnsi"/>
          <w:bCs/>
        </w:rPr>
        <w:t>obtained from Badawi et al (1998)</w:t>
      </w:r>
      <w:commentRangeEnd w:id="7"/>
      <w:r w:rsidRPr="00AB472B">
        <w:rPr>
          <w:rStyle w:val="CommentReference"/>
          <w:rFonts w:cstheme="minorHAnsi"/>
          <w:sz w:val="24"/>
          <w:szCs w:val="24"/>
        </w:rPr>
        <w:commentReference w:id="7"/>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915B3" w:rsidRDefault="00C915B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C915B3" w:rsidRDefault="00C915B3">
      <w:pPr>
        <w:pStyle w:val="CommentText"/>
      </w:pPr>
      <w:r>
        <w:rPr>
          <w:rStyle w:val="CommentReference"/>
        </w:rPr>
        <w:annotationRef/>
      </w:r>
      <w:r>
        <w:t>Ref?</w:t>
      </w:r>
    </w:p>
  </w:comment>
  <w:comment w:id="2" w:author="Matt Lyon" w:date="2020-12-09T09:45:00Z" w:initials="ML">
    <w:p w14:paraId="058ACD15" w14:textId="77777777" w:rsidR="00C915B3" w:rsidRDefault="00C915B3" w:rsidP="00855A68">
      <w:pPr>
        <w:pStyle w:val="CommentText"/>
      </w:pPr>
      <w:r>
        <w:rPr>
          <w:rStyle w:val="CommentReference"/>
        </w:rPr>
        <w:annotationRef/>
      </w:r>
      <w:r>
        <w:t>ML to make public</w:t>
      </w:r>
    </w:p>
  </w:comment>
  <w:comment w:id="3" w:author="Matt Lyon" w:date="2021-03-15T09:57:00Z" w:initials="ML">
    <w:p w14:paraId="3F8209C5" w14:textId="6EBBD32B" w:rsidR="00C915B3" w:rsidRDefault="00C915B3">
      <w:pPr>
        <w:pStyle w:val="CommentText"/>
      </w:pPr>
      <w:r>
        <w:rPr>
          <w:rStyle w:val="CommentReference"/>
        </w:rPr>
        <w:annotationRef/>
      </w:r>
      <w:r>
        <w:t>Please amended as necessary</w:t>
      </w:r>
    </w:p>
  </w:comment>
  <w:comment w:id="4" w:author="Matt Lyon" w:date="2021-03-15T09:43:00Z" w:initials="ML">
    <w:p w14:paraId="34F92E0A" w14:textId="1F99D7B7" w:rsidR="00C915B3" w:rsidRDefault="00C915B3">
      <w:pPr>
        <w:pStyle w:val="CommentText"/>
      </w:pPr>
      <w:r>
        <w:rPr>
          <w:rStyle w:val="CommentReference"/>
        </w:rPr>
        <w:annotationRef/>
      </w:r>
      <w:r>
        <w:t>Pls define</w:t>
      </w:r>
    </w:p>
  </w:comment>
  <w:comment w:id="5" w:author="Matt Lyon" w:date="2021-03-15T09:43:00Z" w:initials="ML">
    <w:p w14:paraId="6ACEAD40" w14:textId="7223B081" w:rsidR="00C915B3" w:rsidRDefault="00C915B3">
      <w:pPr>
        <w:pStyle w:val="CommentText"/>
      </w:pPr>
      <w:r>
        <w:rPr>
          <w:rStyle w:val="CommentReference"/>
        </w:rPr>
        <w:annotationRef/>
      </w:r>
      <w:r>
        <w:rPr>
          <w:rStyle w:val="CommentReference"/>
        </w:rPr>
        <w:t>Pls define</w:t>
      </w:r>
    </w:p>
  </w:comment>
  <w:comment w:id="6" w:author="Matt Lyon" w:date="2021-03-15T09:44:00Z" w:initials="ML">
    <w:p w14:paraId="7A199F61" w14:textId="5CDC0A86" w:rsidR="00C915B3" w:rsidRDefault="00C915B3">
      <w:pPr>
        <w:pStyle w:val="CommentText"/>
      </w:pPr>
      <w:r>
        <w:rPr>
          <w:rStyle w:val="CommentReference"/>
        </w:rPr>
        <w:annotationRef/>
      </w:r>
      <w:r>
        <w:rPr>
          <w:rStyle w:val="CommentReference"/>
        </w:rPr>
        <w:t>Pls define</w:t>
      </w:r>
    </w:p>
  </w:comment>
  <w:comment w:id="7" w:author="Matt Lyon" w:date="2021-03-15T09:40:00Z" w:initials="ML">
    <w:p w14:paraId="75D381C9" w14:textId="77777777" w:rsidR="00C915B3" w:rsidRDefault="00C915B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F8209C5"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E19" w16cex:dateUtc="2021-03-15T09:57: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F8209C5" w16cid:durableId="23F9AE19"/>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2729B"/>
    <w:rsid w:val="00044DBB"/>
    <w:rsid w:val="0004551D"/>
    <w:rsid w:val="00045EA3"/>
    <w:rsid w:val="0004753E"/>
    <w:rsid w:val="00047BAD"/>
    <w:rsid w:val="00050E64"/>
    <w:rsid w:val="00051161"/>
    <w:rsid w:val="00055729"/>
    <w:rsid w:val="00056A6F"/>
    <w:rsid w:val="00056BBD"/>
    <w:rsid w:val="00057F25"/>
    <w:rsid w:val="00062385"/>
    <w:rsid w:val="0006354B"/>
    <w:rsid w:val="00066739"/>
    <w:rsid w:val="000669B8"/>
    <w:rsid w:val="00070E8B"/>
    <w:rsid w:val="000711C1"/>
    <w:rsid w:val="000719C8"/>
    <w:rsid w:val="00071E2D"/>
    <w:rsid w:val="00074315"/>
    <w:rsid w:val="0007448A"/>
    <w:rsid w:val="000760FE"/>
    <w:rsid w:val="00080F23"/>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55"/>
    <w:rsid w:val="000B1E8A"/>
    <w:rsid w:val="000B28BA"/>
    <w:rsid w:val="000B5BEA"/>
    <w:rsid w:val="000B5FF8"/>
    <w:rsid w:val="000C06F4"/>
    <w:rsid w:val="000C312D"/>
    <w:rsid w:val="000C4285"/>
    <w:rsid w:val="000C4915"/>
    <w:rsid w:val="000C6E46"/>
    <w:rsid w:val="000D3EDF"/>
    <w:rsid w:val="000D467D"/>
    <w:rsid w:val="000D5F2A"/>
    <w:rsid w:val="000E15A4"/>
    <w:rsid w:val="000E2A79"/>
    <w:rsid w:val="000E2D5C"/>
    <w:rsid w:val="000E4E91"/>
    <w:rsid w:val="000E6406"/>
    <w:rsid w:val="000F1829"/>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1DC1"/>
    <w:rsid w:val="00152ED0"/>
    <w:rsid w:val="001549C8"/>
    <w:rsid w:val="0015770C"/>
    <w:rsid w:val="00160CCE"/>
    <w:rsid w:val="00160F0D"/>
    <w:rsid w:val="0016120E"/>
    <w:rsid w:val="001646CD"/>
    <w:rsid w:val="00164C38"/>
    <w:rsid w:val="0016535A"/>
    <w:rsid w:val="00171053"/>
    <w:rsid w:val="00171F02"/>
    <w:rsid w:val="00172234"/>
    <w:rsid w:val="00174780"/>
    <w:rsid w:val="0017582A"/>
    <w:rsid w:val="00175CEB"/>
    <w:rsid w:val="00183E2E"/>
    <w:rsid w:val="0018640A"/>
    <w:rsid w:val="0019154A"/>
    <w:rsid w:val="001944E7"/>
    <w:rsid w:val="00194C6D"/>
    <w:rsid w:val="00194DD7"/>
    <w:rsid w:val="001951F4"/>
    <w:rsid w:val="00195F9B"/>
    <w:rsid w:val="001966AD"/>
    <w:rsid w:val="00196C1E"/>
    <w:rsid w:val="001A047F"/>
    <w:rsid w:val="001A0D50"/>
    <w:rsid w:val="001A31CB"/>
    <w:rsid w:val="001A741F"/>
    <w:rsid w:val="001A7B4A"/>
    <w:rsid w:val="001A7DAF"/>
    <w:rsid w:val="001B0382"/>
    <w:rsid w:val="001B1466"/>
    <w:rsid w:val="001B3FAE"/>
    <w:rsid w:val="001B414B"/>
    <w:rsid w:val="001B46C3"/>
    <w:rsid w:val="001B67D6"/>
    <w:rsid w:val="001B7143"/>
    <w:rsid w:val="001C38FF"/>
    <w:rsid w:val="001C7CE2"/>
    <w:rsid w:val="001D12E1"/>
    <w:rsid w:val="001D17B1"/>
    <w:rsid w:val="001D3065"/>
    <w:rsid w:val="001E4B69"/>
    <w:rsid w:val="001F0885"/>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55DA"/>
    <w:rsid w:val="00217233"/>
    <w:rsid w:val="00217BF1"/>
    <w:rsid w:val="002206B9"/>
    <w:rsid w:val="00225353"/>
    <w:rsid w:val="002258F2"/>
    <w:rsid w:val="00226DA4"/>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63A1B"/>
    <w:rsid w:val="002705EF"/>
    <w:rsid w:val="00273AA4"/>
    <w:rsid w:val="00273B90"/>
    <w:rsid w:val="00274F10"/>
    <w:rsid w:val="00276295"/>
    <w:rsid w:val="002777FA"/>
    <w:rsid w:val="00280F81"/>
    <w:rsid w:val="00284604"/>
    <w:rsid w:val="00287880"/>
    <w:rsid w:val="002901B0"/>
    <w:rsid w:val="00291E80"/>
    <w:rsid w:val="002922CD"/>
    <w:rsid w:val="002927A9"/>
    <w:rsid w:val="00292865"/>
    <w:rsid w:val="002978C8"/>
    <w:rsid w:val="00297AD1"/>
    <w:rsid w:val="002A3DF3"/>
    <w:rsid w:val="002A73FC"/>
    <w:rsid w:val="002A77D0"/>
    <w:rsid w:val="002A7AF4"/>
    <w:rsid w:val="002A7E67"/>
    <w:rsid w:val="002B0016"/>
    <w:rsid w:val="002B3D1B"/>
    <w:rsid w:val="002C1DF4"/>
    <w:rsid w:val="002C23EC"/>
    <w:rsid w:val="002C3F73"/>
    <w:rsid w:val="002D223F"/>
    <w:rsid w:val="002D5D88"/>
    <w:rsid w:val="002D6DBB"/>
    <w:rsid w:val="002D77AB"/>
    <w:rsid w:val="002E0943"/>
    <w:rsid w:val="002E20A1"/>
    <w:rsid w:val="002E23BA"/>
    <w:rsid w:val="002E52E5"/>
    <w:rsid w:val="002E6FC6"/>
    <w:rsid w:val="002F1007"/>
    <w:rsid w:val="002F3119"/>
    <w:rsid w:val="002F3DC6"/>
    <w:rsid w:val="003043A5"/>
    <w:rsid w:val="003070F9"/>
    <w:rsid w:val="00310C06"/>
    <w:rsid w:val="00315DB1"/>
    <w:rsid w:val="00316E79"/>
    <w:rsid w:val="0031795B"/>
    <w:rsid w:val="00321971"/>
    <w:rsid w:val="00322745"/>
    <w:rsid w:val="003241CF"/>
    <w:rsid w:val="0032484B"/>
    <w:rsid w:val="00327F28"/>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3F7F37"/>
    <w:rsid w:val="00400D63"/>
    <w:rsid w:val="00401107"/>
    <w:rsid w:val="00401427"/>
    <w:rsid w:val="00401CA1"/>
    <w:rsid w:val="00402E97"/>
    <w:rsid w:val="004036AE"/>
    <w:rsid w:val="00404A19"/>
    <w:rsid w:val="004113BF"/>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B4806"/>
    <w:rsid w:val="004C27FB"/>
    <w:rsid w:val="004C29E7"/>
    <w:rsid w:val="004D07A4"/>
    <w:rsid w:val="004D0F85"/>
    <w:rsid w:val="004E5C4A"/>
    <w:rsid w:val="004E651A"/>
    <w:rsid w:val="004E6768"/>
    <w:rsid w:val="004F2B11"/>
    <w:rsid w:val="004F7E0D"/>
    <w:rsid w:val="00504C79"/>
    <w:rsid w:val="00510E2D"/>
    <w:rsid w:val="005118F1"/>
    <w:rsid w:val="00511FCF"/>
    <w:rsid w:val="00513DDF"/>
    <w:rsid w:val="00514A12"/>
    <w:rsid w:val="005162D8"/>
    <w:rsid w:val="00516A49"/>
    <w:rsid w:val="00521CEB"/>
    <w:rsid w:val="00523040"/>
    <w:rsid w:val="00523EE9"/>
    <w:rsid w:val="00524002"/>
    <w:rsid w:val="00524831"/>
    <w:rsid w:val="00524919"/>
    <w:rsid w:val="00527830"/>
    <w:rsid w:val="005279D0"/>
    <w:rsid w:val="0053015B"/>
    <w:rsid w:val="00534A5D"/>
    <w:rsid w:val="00537951"/>
    <w:rsid w:val="005449FB"/>
    <w:rsid w:val="00545C2B"/>
    <w:rsid w:val="00547826"/>
    <w:rsid w:val="00553F49"/>
    <w:rsid w:val="0055504C"/>
    <w:rsid w:val="005630A4"/>
    <w:rsid w:val="00566679"/>
    <w:rsid w:val="00566BE4"/>
    <w:rsid w:val="00570879"/>
    <w:rsid w:val="0057340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3080"/>
    <w:rsid w:val="005B366A"/>
    <w:rsid w:val="005B478D"/>
    <w:rsid w:val="005B5372"/>
    <w:rsid w:val="005B7AD0"/>
    <w:rsid w:val="005C0258"/>
    <w:rsid w:val="005C233C"/>
    <w:rsid w:val="005C6BA0"/>
    <w:rsid w:val="005C6C59"/>
    <w:rsid w:val="005D18CA"/>
    <w:rsid w:val="005D19D6"/>
    <w:rsid w:val="005D278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055F7"/>
    <w:rsid w:val="00607CEB"/>
    <w:rsid w:val="00610ECA"/>
    <w:rsid w:val="00611919"/>
    <w:rsid w:val="00612C44"/>
    <w:rsid w:val="0061501C"/>
    <w:rsid w:val="00615E1B"/>
    <w:rsid w:val="0062007F"/>
    <w:rsid w:val="00624A8D"/>
    <w:rsid w:val="00624F90"/>
    <w:rsid w:val="0063380E"/>
    <w:rsid w:val="0063418F"/>
    <w:rsid w:val="00635AD8"/>
    <w:rsid w:val="00636B25"/>
    <w:rsid w:val="00640C36"/>
    <w:rsid w:val="006412C0"/>
    <w:rsid w:val="00646792"/>
    <w:rsid w:val="006501D4"/>
    <w:rsid w:val="00650399"/>
    <w:rsid w:val="00650F33"/>
    <w:rsid w:val="00653AFD"/>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6879"/>
    <w:rsid w:val="00687F0C"/>
    <w:rsid w:val="00690C09"/>
    <w:rsid w:val="00692A24"/>
    <w:rsid w:val="00693B31"/>
    <w:rsid w:val="00694A52"/>
    <w:rsid w:val="006A1EE7"/>
    <w:rsid w:val="006A384E"/>
    <w:rsid w:val="006A5511"/>
    <w:rsid w:val="006A74D9"/>
    <w:rsid w:val="006A7A7C"/>
    <w:rsid w:val="006B2ED1"/>
    <w:rsid w:val="006B4421"/>
    <w:rsid w:val="006B68D1"/>
    <w:rsid w:val="006B6F91"/>
    <w:rsid w:val="006C4DEA"/>
    <w:rsid w:val="006C5A3D"/>
    <w:rsid w:val="006C756C"/>
    <w:rsid w:val="006D3E11"/>
    <w:rsid w:val="006D3F77"/>
    <w:rsid w:val="006D5746"/>
    <w:rsid w:val="006E46B6"/>
    <w:rsid w:val="006E7629"/>
    <w:rsid w:val="006F47BD"/>
    <w:rsid w:val="006F4E34"/>
    <w:rsid w:val="006F54A4"/>
    <w:rsid w:val="006F5702"/>
    <w:rsid w:val="006F61CA"/>
    <w:rsid w:val="006F6B9F"/>
    <w:rsid w:val="00702272"/>
    <w:rsid w:val="007025FF"/>
    <w:rsid w:val="00703002"/>
    <w:rsid w:val="007039BB"/>
    <w:rsid w:val="00706804"/>
    <w:rsid w:val="00706BAB"/>
    <w:rsid w:val="007077FB"/>
    <w:rsid w:val="00710021"/>
    <w:rsid w:val="00710682"/>
    <w:rsid w:val="00711B04"/>
    <w:rsid w:val="00712169"/>
    <w:rsid w:val="007162DE"/>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18EA"/>
    <w:rsid w:val="00762259"/>
    <w:rsid w:val="00762BBC"/>
    <w:rsid w:val="00765339"/>
    <w:rsid w:val="00773ADB"/>
    <w:rsid w:val="00774C0B"/>
    <w:rsid w:val="00775419"/>
    <w:rsid w:val="00780B61"/>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38BE"/>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1BA"/>
    <w:rsid w:val="00852ECA"/>
    <w:rsid w:val="0085357A"/>
    <w:rsid w:val="00855A68"/>
    <w:rsid w:val="0086188C"/>
    <w:rsid w:val="00861A11"/>
    <w:rsid w:val="008641F3"/>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3C4D"/>
    <w:rsid w:val="008B530F"/>
    <w:rsid w:val="008C0E49"/>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5353"/>
    <w:rsid w:val="00965C42"/>
    <w:rsid w:val="00967504"/>
    <w:rsid w:val="00972490"/>
    <w:rsid w:val="009736D0"/>
    <w:rsid w:val="00981433"/>
    <w:rsid w:val="009851C3"/>
    <w:rsid w:val="0099766B"/>
    <w:rsid w:val="00997D44"/>
    <w:rsid w:val="009A1878"/>
    <w:rsid w:val="009A3D56"/>
    <w:rsid w:val="009A51DE"/>
    <w:rsid w:val="009A5D35"/>
    <w:rsid w:val="009A64E3"/>
    <w:rsid w:val="009B07E9"/>
    <w:rsid w:val="009B0943"/>
    <w:rsid w:val="009B145B"/>
    <w:rsid w:val="009B14A3"/>
    <w:rsid w:val="009B26B4"/>
    <w:rsid w:val="009B5071"/>
    <w:rsid w:val="009B6A6D"/>
    <w:rsid w:val="009C15C0"/>
    <w:rsid w:val="009C3883"/>
    <w:rsid w:val="009C5EF8"/>
    <w:rsid w:val="009D06D8"/>
    <w:rsid w:val="009D64A9"/>
    <w:rsid w:val="009D6B0F"/>
    <w:rsid w:val="009D7829"/>
    <w:rsid w:val="009E3AD3"/>
    <w:rsid w:val="009E4571"/>
    <w:rsid w:val="009E65C4"/>
    <w:rsid w:val="009F6DF4"/>
    <w:rsid w:val="009F7919"/>
    <w:rsid w:val="00A01D44"/>
    <w:rsid w:val="00A01D59"/>
    <w:rsid w:val="00A03A83"/>
    <w:rsid w:val="00A03E5E"/>
    <w:rsid w:val="00A102BC"/>
    <w:rsid w:val="00A129E3"/>
    <w:rsid w:val="00A12DDB"/>
    <w:rsid w:val="00A15123"/>
    <w:rsid w:val="00A15BC4"/>
    <w:rsid w:val="00A20758"/>
    <w:rsid w:val="00A211AB"/>
    <w:rsid w:val="00A219A2"/>
    <w:rsid w:val="00A2319B"/>
    <w:rsid w:val="00A247FF"/>
    <w:rsid w:val="00A27BF0"/>
    <w:rsid w:val="00A3007D"/>
    <w:rsid w:val="00A30732"/>
    <w:rsid w:val="00A310AE"/>
    <w:rsid w:val="00A31563"/>
    <w:rsid w:val="00A31A09"/>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134B"/>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77E4"/>
    <w:rsid w:val="00B202EC"/>
    <w:rsid w:val="00B21834"/>
    <w:rsid w:val="00B22E74"/>
    <w:rsid w:val="00B23F56"/>
    <w:rsid w:val="00B2791D"/>
    <w:rsid w:val="00B30500"/>
    <w:rsid w:val="00B30723"/>
    <w:rsid w:val="00B3240D"/>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379E"/>
    <w:rsid w:val="00B75A48"/>
    <w:rsid w:val="00B7667E"/>
    <w:rsid w:val="00B77547"/>
    <w:rsid w:val="00B81506"/>
    <w:rsid w:val="00B86567"/>
    <w:rsid w:val="00B86CC9"/>
    <w:rsid w:val="00B87DC2"/>
    <w:rsid w:val="00B87F32"/>
    <w:rsid w:val="00B914AC"/>
    <w:rsid w:val="00B95D35"/>
    <w:rsid w:val="00B975A9"/>
    <w:rsid w:val="00BA2354"/>
    <w:rsid w:val="00BA2641"/>
    <w:rsid w:val="00BA5315"/>
    <w:rsid w:val="00BA6896"/>
    <w:rsid w:val="00BA7F25"/>
    <w:rsid w:val="00BB18AA"/>
    <w:rsid w:val="00BB5E7E"/>
    <w:rsid w:val="00BB5FDE"/>
    <w:rsid w:val="00BC5721"/>
    <w:rsid w:val="00BC7D06"/>
    <w:rsid w:val="00BD18CC"/>
    <w:rsid w:val="00BD2D9F"/>
    <w:rsid w:val="00BE4DE2"/>
    <w:rsid w:val="00BE6290"/>
    <w:rsid w:val="00BE7BA1"/>
    <w:rsid w:val="00BF3CE6"/>
    <w:rsid w:val="00BF43E5"/>
    <w:rsid w:val="00BF7427"/>
    <w:rsid w:val="00C005F2"/>
    <w:rsid w:val="00C01D42"/>
    <w:rsid w:val="00C03720"/>
    <w:rsid w:val="00C04538"/>
    <w:rsid w:val="00C05ADC"/>
    <w:rsid w:val="00C10F31"/>
    <w:rsid w:val="00C14516"/>
    <w:rsid w:val="00C16979"/>
    <w:rsid w:val="00C2392C"/>
    <w:rsid w:val="00C2732C"/>
    <w:rsid w:val="00C275F1"/>
    <w:rsid w:val="00C31674"/>
    <w:rsid w:val="00C31F0C"/>
    <w:rsid w:val="00C32983"/>
    <w:rsid w:val="00C368B7"/>
    <w:rsid w:val="00C36FA7"/>
    <w:rsid w:val="00C420D0"/>
    <w:rsid w:val="00C42F43"/>
    <w:rsid w:val="00C43C47"/>
    <w:rsid w:val="00C44648"/>
    <w:rsid w:val="00C46089"/>
    <w:rsid w:val="00C46236"/>
    <w:rsid w:val="00C5231E"/>
    <w:rsid w:val="00C52F78"/>
    <w:rsid w:val="00C6103D"/>
    <w:rsid w:val="00C62645"/>
    <w:rsid w:val="00C66D85"/>
    <w:rsid w:val="00C702FC"/>
    <w:rsid w:val="00C71AC6"/>
    <w:rsid w:val="00C73031"/>
    <w:rsid w:val="00C749E8"/>
    <w:rsid w:val="00C752F7"/>
    <w:rsid w:val="00C77AA3"/>
    <w:rsid w:val="00C83B0D"/>
    <w:rsid w:val="00C83D7C"/>
    <w:rsid w:val="00C846B5"/>
    <w:rsid w:val="00C915B3"/>
    <w:rsid w:val="00C93672"/>
    <w:rsid w:val="00C945D3"/>
    <w:rsid w:val="00C94627"/>
    <w:rsid w:val="00C97762"/>
    <w:rsid w:val="00CA127A"/>
    <w:rsid w:val="00CA4EF5"/>
    <w:rsid w:val="00CA6093"/>
    <w:rsid w:val="00CB53A2"/>
    <w:rsid w:val="00CB5AF9"/>
    <w:rsid w:val="00CB5C3F"/>
    <w:rsid w:val="00CC2C00"/>
    <w:rsid w:val="00CC33A4"/>
    <w:rsid w:val="00CC4734"/>
    <w:rsid w:val="00CD4260"/>
    <w:rsid w:val="00CD5F33"/>
    <w:rsid w:val="00CD6494"/>
    <w:rsid w:val="00CD7EE3"/>
    <w:rsid w:val="00CE199A"/>
    <w:rsid w:val="00CF5B68"/>
    <w:rsid w:val="00D023C2"/>
    <w:rsid w:val="00D0443C"/>
    <w:rsid w:val="00D05066"/>
    <w:rsid w:val="00D0684A"/>
    <w:rsid w:val="00D11CB1"/>
    <w:rsid w:val="00D13C7C"/>
    <w:rsid w:val="00D242F2"/>
    <w:rsid w:val="00D26047"/>
    <w:rsid w:val="00D30A44"/>
    <w:rsid w:val="00D3105F"/>
    <w:rsid w:val="00D31BB8"/>
    <w:rsid w:val="00D342D7"/>
    <w:rsid w:val="00D346BF"/>
    <w:rsid w:val="00D34E2D"/>
    <w:rsid w:val="00D35C2D"/>
    <w:rsid w:val="00D35EEE"/>
    <w:rsid w:val="00D413B3"/>
    <w:rsid w:val="00D42AD3"/>
    <w:rsid w:val="00D431D0"/>
    <w:rsid w:val="00D4419B"/>
    <w:rsid w:val="00D44879"/>
    <w:rsid w:val="00D46833"/>
    <w:rsid w:val="00D46D03"/>
    <w:rsid w:val="00D472D5"/>
    <w:rsid w:val="00D47D87"/>
    <w:rsid w:val="00D5156C"/>
    <w:rsid w:val="00D609FF"/>
    <w:rsid w:val="00D6415B"/>
    <w:rsid w:val="00D67A51"/>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58BB"/>
    <w:rsid w:val="00DA75E5"/>
    <w:rsid w:val="00DB6D55"/>
    <w:rsid w:val="00DB789F"/>
    <w:rsid w:val="00DC4FED"/>
    <w:rsid w:val="00DC59F4"/>
    <w:rsid w:val="00DD6D05"/>
    <w:rsid w:val="00DD78BB"/>
    <w:rsid w:val="00DD7F80"/>
    <w:rsid w:val="00DE0E3A"/>
    <w:rsid w:val="00DE3833"/>
    <w:rsid w:val="00DF0312"/>
    <w:rsid w:val="00DF1EAD"/>
    <w:rsid w:val="00DF1FA0"/>
    <w:rsid w:val="00DF529F"/>
    <w:rsid w:val="00DF52BD"/>
    <w:rsid w:val="00DF56A7"/>
    <w:rsid w:val="00DF60F6"/>
    <w:rsid w:val="00E01385"/>
    <w:rsid w:val="00E037A5"/>
    <w:rsid w:val="00E05DDD"/>
    <w:rsid w:val="00E06882"/>
    <w:rsid w:val="00E06FA6"/>
    <w:rsid w:val="00E1161A"/>
    <w:rsid w:val="00E12641"/>
    <w:rsid w:val="00E12CA3"/>
    <w:rsid w:val="00E12D6B"/>
    <w:rsid w:val="00E13A3A"/>
    <w:rsid w:val="00E144A2"/>
    <w:rsid w:val="00E20BE1"/>
    <w:rsid w:val="00E21A57"/>
    <w:rsid w:val="00E24EB2"/>
    <w:rsid w:val="00E2577F"/>
    <w:rsid w:val="00E26C48"/>
    <w:rsid w:val="00E32AED"/>
    <w:rsid w:val="00E32CE7"/>
    <w:rsid w:val="00E42E1D"/>
    <w:rsid w:val="00E4396D"/>
    <w:rsid w:val="00E47707"/>
    <w:rsid w:val="00E50BC9"/>
    <w:rsid w:val="00E52C6D"/>
    <w:rsid w:val="00E57B1D"/>
    <w:rsid w:val="00E62DA7"/>
    <w:rsid w:val="00E65512"/>
    <w:rsid w:val="00E65952"/>
    <w:rsid w:val="00E65E81"/>
    <w:rsid w:val="00E67607"/>
    <w:rsid w:val="00E7139D"/>
    <w:rsid w:val="00E721BA"/>
    <w:rsid w:val="00E85217"/>
    <w:rsid w:val="00E87B8B"/>
    <w:rsid w:val="00E94160"/>
    <w:rsid w:val="00E96CF1"/>
    <w:rsid w:val="00EA239B"/>
    <w:rsid w:val="00EA2537"/>
    <w:rsid w:val="00EA41C0"/>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3B53"/>
    <w:rsid w:val="00ED6A1D"/>
    <w:rsid w:val="00EE0303"/>
    <w:rsid w:val="00EE0C84"/>
    <w:rsid w:val="00EE1900"/>
    <w:rsid w:val="00EE1BEB"/>
    <w:rsid w:val="00EE3D33"/>
    <w:rsid w:val="00EE3F22"/>
    <w:rsid w:val="00EE4EA7"/>
    <w:rsid w:val="00EE557D"/>
    <w:rsid w:val="00EE615B"/>
    <w:rsid w:val="00EE64A3"/>
    <w:rsid w:val="00EE6AF1"/>
    <w:rsid w:val="00EE6E42"/>
    <w:rsid w:val="00EF278D"/>
    <w:rsid w:val="00EF66D4"/>
    <w:rsid w:val="00EF7D07"/>
    <w:rsid w:val="00F00D5F"/>
    <w:rsid w:val="00F0290B"/>
    <w:rsid w:val="00F02A39"/>
    <w:rsid w:val="00F051F0"/>
    <w:rsid w:val="00F06294"/>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1EC2"/>
    <w:rsid w:val="00F72C30"/>
    <w:rsid w:val="00F733A9"/>
    <w:rsid w:val="00F748A9"/>
    <w:rsid w:val="00F8054B"/>
    <w:rsid w:val="00F82109"/>
    <w:rsid w:val="00F82FB8"/>
    <w:rsid w:val="00F8379B"/>
    <w:rsid w:val="00F839EA"/>
    <w:rsid w:val="00F84B0C"/>
    <w:rsid w:val="00F86BA6"/>
    <w:rsid w:val="00F902A3"/>
    <w:rsid w:val="00F91EAF"/>
    <w:rsid w:val="00F96C21"/>
    <w:rsid w:val="00F972F7"/>
    <w:rsid w:val="00FA017F"/>
    <w:rsid w:val="00FA0EA5"/>
    <w:rsid w:val="00FA1839"/>
    <w:rsid w:val="00FA4006"/>
    <w:rsid w:val="00FB549D"/>
    <w:rsid w:val="00FC07CF"/>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19</Pages>
  <Words>21718</Words>
  <Characters>123796</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1223</cp:revision>
  <dcterms:created xsi:type="dcterms:W3CDTF">2021-01-08T16:04:00Z</dcterms:created>
  <dcterms:modified xsi:type="dcterms:W3CDTF">2021-03-17T17:04:00Z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